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A3F" w:rsidRPr="00B11769" w:rsidRDefault="004754DB" w:rsidP="004754DB">
      <w:pPr>
        <w:tabs>
          <w:tab w:val="center" w:pos="7776"/>
        </w:tabs>
        <w:rPr>
          <w:b/>
          <w:sz w:val="20"/>
          <w:szCs w:val="20"/>
        </w:rPr>
      </w:pPr>
      <w:r>
        <w:rPr>
          <w:sz w:val="20"/>
          <w:szCs w:val="20"/>
        </w:rPr>
        <w:t xml:space="preserve">                                                                               </w:t>
      </w:r>
      <w:r w:rsidR="004B7A3F">
        <w:rPr>
          <w:sz w:val="20"/>
          <w:szCs w:val="20"/>
        </w:rPr>
        <w:t xml:space="preserve">                               </w:t>
      </w:r>
      <w:r>
        <w:rPr>
          <w:sz w:val="20"/>
          <w:szCs w:val="20"/>
        </w:rPr>
        <w:t xml:space="preserve">     </w:t>
      </w:r>
      <w:r w:rsidR="00B11769">
        <w:rPr>
          <w:b/>
          <w:sz w:val="20"/>
          <w:szCs w:val="20"/>
          <w:u w:val="single"/>
        </w:rPr>
        <w:t>State Crowdfunding / Intrastate Exemption Bills</w:t>
      </w:r>
      <w:r w:rsidR="004F4173">
        <w:rPr>
          <w:b/>
          <w:sz w:val="20"/>
          <w:szCs w:val="20"/>
          <w:u w:val="single"/>
        </w:rPr>
        <w:t xml:space="preserve"> (as of </w:t>
      </w:r>
      <w:r w:rsidR="00C8299D">
        <w:rPr>
          <w:b/>
          <w:sz w:val="20"/>
          <w:szCs w:val="20"/>
          <w:u w:val="single"/>
        </w:rPr>
        <w:t>September 29</w:t>
      </w:r>
      <w:r w:rsidR="007E2211" w:rsidRPr="000D7FA9">
        <w:rPr>
          <w:b/>
          <w:sz w:val="20"/>
          <w:szCs w:val="20"/>
          <w:u w:val="single"/>
        </w:rPr>
        <w:t>, 2014)</w:t>
      </w:r>
      <w:r w:rsidRPr="000D7FA9">
        <w:rPr>
          <w:sz w:val="20"/>
          <w:szCs w:val="20"/>
        </w:rPr>
        <w:t xml:space="preserve">         </w:t>
      </w:r>
      <w:r w:rsidR="00B11769">
        <w:rPr>
          <w:sz w:val="20"/>
          <w:szCs w:val="20"/>
        </w:rPr>
        <w:t xml:space="preserve">                 </w:t>
      </w:r>
      <w:r w:rsidR="003F7C42">
        <w:rPr>
          <w:sz w:val="20"/>
          <w:szCs w:val="20"/>
        </w:rPr>
        <w:t xml:space="preserve"> </w:t>
      </w:r>
      <w:r w:rsidRPr="000D7FA9">
        <w:rPr>
          <w:b/>
          <w:sz w:val="20"/>
          <w:szCs w:val="20"/>
        </w:rPr>
        <w:t>*Indicates a currently pending bill.</w:t>
      </w:r>
    </w:p>
    <w:tbl>
      <w:tblPr>
        <w:tblStyle w:val="TableGrid"/>
        <w:tblW w:w="15768" w:type="dxa"/>
        <w:jc w:val="center"/>
        <w:tblLayout w:type="fixed"/>
        <w:tblLook w:val="04A0" w:firstRow="1" w:lastRow="0" w:firstColumn="1" w:lastColumn="0" w:noHBand="0" w:noVBand="1"/>
      </w:tblPr>
      <w:tblGrid>
        <w:gridCol w:w="1075"/>
        <w:gridCol w:w="1193"/>
        <w:gridCol w:w="3060"/>
        <w:gridCol w:w="1160"/>
        <w:gridCol w:w="10"/>
        <w:gridCol w:w="1057"/>
        <w:gridCol w:w="990"/>
        <w:gridCol w:w="23"/>
        <w:gridCol w:w="1417"/>
        <w:gridCol w:w="1440"/>
        <w:gridCol w:w="23"/>
        <w:gridCol w:w="697"/>
        <w:gridCol w:w="1170"/>
        <w:gridCol w:w="1170"/>
        <w:gridCol w:w="1283"/>
      </w:tblGrid>
      <w:tr w:rsidR="00F95F96" w:rsidRPr="000D7FA9" w:rsidTr="00174AA1">
        <w:trPr>
          <w:cantSplit/>
          <w:trHeight w:val="737"/>
          <w:tblHeader/>
          <w:jc w:val="center"/>
        </w:trPr>
        <w:tc>
          <w:tcPr>
            <w:tcW w:w="1075" w:type="dxa"/>
            <w:shd w:val="clear" w:color="auto" w:fill="BFBFBF" w:themeFill="background1" w:themeFillShade="BF"/>
          </w:tcPr>
          <w:p w:rsidR="00621A70" w:rsidRPr="000D7FA9" w:rsidRDefault="00621A70" w:rsidP="00724CE3">
            <w:pPr>
              <w:jc w:val="center"/>
              <w:rPr>
                <w:b/>
                <w:sz w:val="16"/>
                <w:szCs w:val="16"/>
                <w:u w:val="single"/>
              </w:rPr>
            </w:pPr>
          </w:p>
          <w:p w:rsidR="001A31C6" w:rsidRPr="000D7FA9" w:rsidRDefault="001A31C6" w:rsidP="00724CE3">
            <w:pPr>
              <w:jc w:val="center"/>
              <w:rPr>
                <w:b/>
                <w:sz w:val="16"/>
                <w:szCs w:val="16"/>
                <w:u w:val="single"/>
              </w:rPr>
            </w:pPr>
            <w:r w:rsidRPr="000D7FA9">
              <w:rPr>
                <w:b/>
                <w:sz w:val="16"/>
                <w:szCs w:val="16"/>
                <w:u w:val="single"/>
              </w:rPr>
              <w:t>State</w:t>
            </w:r>
          </w:p>
        </w:tc>
        <w:tc>
          <w:tcPr>
            <w:tcW w:w="1193" w:type="dxa"/>
            <w:shd w:val="clear" w:color="auto" w:fill="BFBFBF" w:themeFill="background1" w:themeFillShade="BF"/>
          </w:tcPr>
          <w:p w:rsidR="00621A70" w:rsidRPr="000D7FA9" w:rsidRDefault="00621A70" w:rsidP="00724CE3">
            <w:pPr>
              <w:jc w:val="center"/>
              <w:rPr>
                <w:b/>
                <w:sz w:val="16"/>
                <w:szCs w:val="16"/>
                <w:u w:val="single"/>
              </w:rPr>
            </w:pPr>
          </w:p>
          <w:p w:rsidR="00724CE3" w:rsidRPr="000D7FA9" w:rsidRDefault="001A31C6" w:rsidP="00724CE3">
            <w:pPr>
              <w:jc w:val="center"/>
              <w:rPr>
                <w:b/>
                <w:sz w:val="16"/>
                <w:szCs w:val="16"/>
                <w:u w:val="single"/>
              </w:rPr>
            </w:pPr>
            <w:r w:rsidRPr="000D7FA9">
              <w:rPr>
                <w:b/>
                <w:sz w:val="16"/>
                <w:szCs w:val="16"/>
                <w:u w:val="single"/>
              </w:rPr>
              <w:t>Bill</w:t>
            </w:r>
            <w:r w:rsidR="0089071A" w:rsidRPr="000D7FA9">
              <w:rPr>
                <w:b/>
                <w:sz w:val="16"/>
                <w:szCs w:val="16"/>
                <w:u w:val="single"/>
              </w:rPr>
              <w:t xml:space="preserve"> #</w:t>
            </w:r>
            <w:r w:rsidRPr="000D7FA9">
              <w:rPr>
                <w:b/>
                <w:sz w:val="16"/>
                <w:szCs w:val="16"/>
                <w:u w:val="single"/>
              </w:rPr>
              <w:t>/</w:t>
            </w:r>
          </w:p>
          <w:p w:rsidR="001A31C6" w:rsidRPr="000D7FA9" w:rsidRDefault="001A31C6" w:rsidP="00B215BA">
            <w:pPr>
              <w:jc w:val="center"/>
              <w:rPr>
                <w:b/>
                <w:sz w:val="16"/>
                <w:szCs w:val="16"/>
                <w:u w:val="single"/>
              </w:rPr>
            </w:pPr>
            <w:r w:rsidRPr="000D7FA9">
              <w:rPr>
                <w:b/>
                <w:sz w:val="16"/>
                <w:szCs w:val="16"/>
                <w:u w:val="single"/>
              </w:rPr>
              <w:t xml:space="preserve">Exemption </w:t>
            </w:r>
          </w:p>
        </w:tc>
        <w:tc>
          <w:tcPr>
            <w:tcW w:w="3060" w:type="dxa"/>
            <w:shd w:val="clear" w:color="auto" w:fill="BFBFBF" w:themeFill="background1" w:themeFillShade="BF"/>
          </w:tcPr>
          <w:p w:rsidR="00621A70" w:rsidRPr="000D7FA9" w:rsidRDefault="00621A70" w:rsidP="00724CE3">
            <w:pPr>
              <w:jc w:val="center"/>
              <w:rPr>
                <w:b/>
                <w:sz w:val="16"/>
                <w:szCs w:val="16"/>
                <w:u w:val="single"/>
              </w:rPr>
            </w:pPr>
          </w:p>
          <w:p w:rsidR="001A31C6" w:rsidRPr="000D7FA9" w:rsidRDefault="00724CE3" w:rsidP="00724CE3">
            <w:pPr>
              <w:jc w:val="center"/>
              <w:rPr>
                <w:b/>
                <w:sz w:val="16"/>
                <w:szCs w:val="16"/>
                <w:u w:val="single"/>
              </w:rPr>
            </w:pPr>
            <w:r w:rsidRPr="000D7FA9">
              <w:rPr>
                <w:b/>
                <w:sz w:val="16"/>
                <w:szCs w:val="16"/>
                <w:u w:val="single"/>
              </w:rPr>
              <w:t xml:space="preserve">Last </w:t>
            </w:r>
            <w:r w:rsidR="001A31C6" w:rsidRPr="000D7FA9">
              <w:rPr>
                <w:b/>
                <w:sz w:val="16"/>
                <w:szCs w:val="16"/>
                <w:u w:val="single"/>
              </w:rPr>
              <w:t>Action Taken</w:t>
            </w:r>
          </w:p>
        </w:tc>
        <w:tc>
          <w:tcPr>
            <w:tcW w:w="1170" w:type="dxa"/>
            <w:gridSpan w:val="2"/>
            <w:shd w:val="clear" w:color="auto" w:fill="BFBFBF" w:themeFill="background1" w:themeFillShade="BF"/>
          </w:tcPr>
          <w:p w:rsidR="001A31C6" w:rsidRPr="000D7FA9" w:rsidRDefault="00724CE3" w:rsidP="00724CE3">
            <w:pPr>
              <w:jc w:val="center"/>
              <w:rPr>
                <w:b/>
                <w:sz w:val="16"/>
                <w:szCs w:val="16"/>
                <w:u w:val="single"/>
              </w:rPr>
            </w:pPr>
            <w:r w:rsidRPr="000D7FA9">
              <w:rPr>
                <w:b/>
                <w:sz w:val="16"/>
                <w:szCs w:val="16"/>
                <w:u w:val="single"/>
              </w:rPr>
              <w:t>Tied to Intrastate Exemption?</w:t>
            </w:r>
          </w:p>
        </w:tc>
        <w:tc>
          <w:tcPr>
            <w:tcW w:w="1057" w:type="dxa"/>
            <w:shd w:val="clear" w:color="auto" w:fill="BFBFBF" w:themeFill="background1" w:themeFillShade="BF"/>
          </w:tcPr>
          <w:p w:rsidR="001A31C6" w:rsidRPr="000D7FA9" w:rsidRDefault="00724CE3" w:rsidP="007E2211">
            <w:pPr>
              <w:jc w:val="center"/>
              <w:rPr>
                <w:b/>
                <w:sz w:val="16"/>
                <w:szCs w:val="16"/>
                <w:u w:val="single"/>
              </w:rPr>
            </w:pPr>
            <w:r w:rsidRPr="000D7FA9">
              <w:rPr>
                <w:b/>
                <w:sz w:val="16"/>
                <w:szCs w:val="16"/>
                <w:u w:val="single"/>
              </w:rPr>
              <w:t>Annual Offering Limit</w:t>
            </w:r>
          </w:p>
        </w:tc>
        <w:tc>
          <w:tcPr>
            <w:tcW w:w="1013" w:type="dxa"/>
            <w:gridSpan w:val="2"/>
            <w:shd w:val="clear" w:color="auto" w:fill="BFBFBF" w:themeFill="background1" w:themeFillShade="BF"/>
          </w:tcPr>
          <w:p w:rsidR="001A31C6" w:rsidRPr="000D7FA9" w:rsidRDefault="00724CE3" w:rsidP="007E2211">
            <w:pPr>
              <w:jc w:val="center"/>
              <w:rPr>
                <w:b/>
                <w:sz w:val="16"/>
                <w:szCs w:val="16"/>
                <w:u w:val="single"/>
              </w:rPr>
            </w:pPr>
            <w:r w:rsidRPr="000D7FA9">
              <w:rPr>
                <w:b/>
                <w:sz w:val="16"/>
                <w:szCs w:val="16"/>
                <w:u w:val="single"/>
              </w:rPr>
              <w:t>Investor Limit</w:t>
            </w:r>
          </w:p>
        </w:tc>
        <w:tc>
          <w:tcPr>
            <w:tcW w:w="1417" w:type="dxa"/>
            <w:shd w:val="clear" w:color="auto" w:fill="BFBFBF" w:themeFill="background1" w:themeFillShade="BF"/>
          </w:tcPr>
          <w:p w:rsidR="001A31C6" w:rsidRPr="000D7FA9" w:rsidRDefault="00724CE3" w:rsidP="007E2211">
            <w:pPr>
              <w:jc w:val="center"/>
              <w:rPr>
                <w:b/>
                <w:sz w:val="16"/>
                <w:szCs w:val="16"/>
                <w:u w:val="single"/>
              </w:rPr>
            </w:pPr>
            <w:r w:rsidRPr="000D7FA9">
              <w:rPr>
                <w:b/>
                <w:sz w:val="16"/>
                <w:szCs w:val="16"/>
                <w:u w:val="single"/>
              </w:rPr>
              <w:t>Compensation of Intermediary Allowed?</w:t>
            </w:r>
          </w:p>
        </w:tc>
        <w:tc>
          <w:tcPr>
            <w:tcW w:w="1463" w:type="dxa"/>
            <w:gridSpan w:val="2"/>
            <w:shd w:val="clear" w:color="auto" w:fill="BFBFBF" w:themeFill="background1" w:themeFillShade="BF"/>
          </w:tcPr>
          <w:p w:rsidR="001A31C6" w:rsidRPr="000D7FA9" w:rsidRDefault="00724CE3" w:rsidP="007E2211">
            <w:pPr>
              <w:jc w:val="center"/>
              <w:rPr>
                <w:b/>
                <w:sz w:val="16"/>
                <w:szCs w:val="16"/>
                <w:u w:val="single"/>
              </w:rPr>
            </w:pPr>
            <w:r w:rsidRPr="000D7FA9">
              <w:rPr>
                <w:b/>
                <w:sz w:val="16"/>
                <w:szCs w:val="16"/>
                <w:u w:val="single"/>
              </w:rPr>
              <w:t>Filing Requirement</w:t>
            </w:r>
          </w:p>
        </w:tc>
        <w:tc>
          <w:tcPr>
            <w:tcW w:w="697" w:type="dxa"/>
            <w:shd w:val="clear" w:color="auto" w:fill="BFBFBF" w:themeFill="background1" w:themeFillShade="BF"/>
          </w:tcPr>
          <w:p w:rsidR="001A31C6" w:rsidRPr="000D7FA9" w:rsidRDefault="00724CE3" w:rsidP="007E2211">
            <w:pPr>
              <w:jc w:val="center"/>
              <w:rPr>
                <w:b/>
                <w:sz w:val="16"/>
                <w:szCs w:val="16"/>
                <w:u w:val="single"/>
              </w:rPr>
            </w:pPr>
            <w:r w:rsidRPr="000D7FA9">
              <w:rPr>
                <w:b/>
                <w:sz w:val="16"/>
                <w:szCs w:val="16"/>
                <w:u w:val="single"/>
              </w:rPr>
              <w:t>Bad Actor Disq.</w:t>
            </w:r>
          </w:p>
        </w:tc>
        <w:tc>
          <w:tcPr>
            <w:tcW w:w="1170" w:type="dxa"/>
            <w:shd w:val="clear" w:color="auto" w:fill="BFBFBF" w:themeFill="background1" w:themeFillShade="BF"/>
          </w:tcPr>
          <w:p w:rsidR="001A31C6" w:rsidRPr="000D7FA9" w:rsidRDefault="00724CE3" w:rsidP="00735992">
            <w:pPr>
              <w:jc w:val="center"/>
              <w:rPr>
                <w:b/>
                <w:sz w:val="16"/>
                <w:szCs w:val="16"/>
                <w:u w:val="single"/>
              </w:rPr>
            </w:pPr>
            <w:r w:rsidRPr="000D7FA9">
              <w:rPr>
                <w:b/>
                <w:sz w:val="16"/>
                <w:szCs w:val="16"/>
                <w:u w:val="single"/>
              </w:rPr>
              <w:t xml:space="preserve">Internet offerings </w:t>
            </w:r>
            <w:r w:rsidR="00735992">
              <w:rPr>
                <w:b/>
                <w:sz w:val="16"/>
                <w:szCs w:val="16"/>
                <w:u w:val="single"/>
              </w:rPr>
              <w:t>explicitly</w:t>
            </w:r>
            <w:r w:rsidRPr="000D7FA9">
              <w:rPr>
                <w:b/>
                <w:sz w:val="16"/>
                <w:szCs w:val="16"/>
                <w:u w:val="single"/>
              </w:rPr>
              <w:t xml:space="preserve"> allowed?</w:t>
            </w:r>
          </w:p>
        </w:tc>
        <w:tc>
          <w:tcPr>
            <w:tcW w:w="1170" w:type="dxa"/>
            <w:shd w:val="clear" w:color="auto" w:fill="BFBFBF" w:themeFill="background1" w:themeFillShade="BF"/>
          </w:tcPr>
          <w:p w:rsidR="001A31C6" w:rsidRPr="000D7FA9" w:rsidRDefault="00724CE3" w:rsidP="007E2211">
            <w:pPr>
              <w:jc w:val="center"/>
              <w:rPr>
                <w:b/>
                <w:sz w:val="16"/>
                <w:szCs w:val="16"/>
                <w:u w:val="single"/>
              </w:rPr>
            </w:pPr>
            <w:r w:rsidRPr="000D7FA9">
              <w:rPr>
                <w:b/>
                <w:sz w:val="16"/>
                <w:szCs w:val="16"/>
                <w:u w:val="single"/>
              </w:rPr>
              <w:t>Post-sale reporting required?</w:t>
            </w:r>
          </w:p>
        </w:tc>
        <w:tc>
          <w:tcPr>
            <w:tcW w:w="1283" w:type="dxa"/>
            <w:shd w:val="clear" w:color="auto" w:fill="BFBFBF" w:themeFill="background1" w:themeFillShade="BF"/>
          </w:tcPr>
          <w:p w:rsidR="001A31C6" w:rsidRPr="000D7FA9" w:rsidRDefault="00724CE3" w:rsidP="007E2211">
            <w:pPr>
              <w:jc w:val="center"/>
              <w:rPr>
                <w:b/>
                <w:sz w:val="16"/>
                <w:szCs w:val="16"/>
                <w:u w:val="single"/>
              </w:rPr>
            </w:pPr>
            <w:r w:rsidRPr="000D7FA9">
              <w:rPr>
                <w:b/>
                <w:sz w:val="16"/>
                <w:szCs w:val="16"/>
                <w:u w:val="single"/>
              </w:rPr>
              <w:t>Tied to Other Exemption for Limited Offerings</w:t>
            </w:r>
          </w:p>
        </w:tc>
      </w:tr>
      <w:tr w:rsidR="00F95F96" w:rsidRPr="000D7FA9" w:rsidTr="00174AA1">
        <w:trPr>
          <w:cantSplit/>
          <w:trHeight w:val="791"/>
          <w:jc w:val="center"/>
        </w:trPr>
        <w:tc>
          <w:tcPr>
            <w:tcW w:w="1075" w:type="dxa"/>
          </w:tcPr>
          <w:p w:rsidR="001B26EB" w:rsidRPr="000D7FA9" w:rsidRDefault="001B26EB" w:rsidP="001B26EB">
            <w:pPr>
              <w:rPr>
                <w:rFonts w:cstheme="minorHAnsi"/>
                <w:sz w:val="16"/>
                <w:szCs w:val="16"/>
              </w:rPr>
            </w:pPr>
          </w:p>
          <w:p w:rsidR="00533F7B" w:rsidRDefault="00533F7B" w:rsidP="001B26EB">
            <w:pPr>
              <w:rPr>
                <w:rFonts w:cstheme="minorHAnsi"/>
                <w:sz w:val="16"/>
                <w:szCs w:val="16"/>
              </w:rPr>
            </w:pPr>
          </w:p>
          <w:p w:rsidR="00557794" w:rsidRPr="000D7FA9" w:rsidRDefault="00557794" w:rsidP="001B26EB">
            <w:pPr>
              <w:rPr>
                <w:rFonts w:cstheme="minorHAnsi"/>
                <w:sz w:val="16"/>
                <w:szCs w:val="16"/>
              </w:rPr>
            </w:pPr>
          </w:p>
          <w:p w:rsidR="001A31C6" w:rsidRPr="000D7FA9" w:rsidRDefault="001A31C6" w:rsidP="001B26EB">
            <w:pPr>
              <w:jc w:val="center"/>
              <w:rPr>
                <w:rFonts w:cstheme="minorHAnsi"/>
                <w:sz w:val="16"/>
                <w:szCs w:val="16"/>
              </w:rPr>
            </w:pPr>
            <w:r w:rsidRPr="000D7FA9">
              <w:rPr>
                <w:rFonts w:cstheme="minorHAnsi"/>
                <w:sz w:val="16"/>
                <w:szCs w:val="16"/>
              </w:rPr>
              <w:t>Alabama</w:t>
            </w:r>
          </w:p>
        </w:tc>
        <w:tc>
          <w:tcPr>
            <w:tcW w:w="1193" w:type="dxa"/>
          </w:tcPr>
          <w:p w:rsidR="001B26EB" w:rsidRPr="000D7FA9" w:rsidRDefault="001B26EB" w:rsidP="001B26EB">
            <w:pPr>
              <w:rPr>
                <w:rFonts w:cstheme="minorHAnsi"/>
                <w:sz w:val="16"/>
                <w:szCs w:val="16"/>
              </w:rPr>
            </w:pPr>
          </w:p>
          <w:p w:rsidR="000C6F1D" w:rsidRDefault="000C6F1D" w:rsidP="001B26EB">
            <w:pPr>
              <w:jc w:val="center"/>
              <w:rPr>
                <w:rFonts w:cstheme="minorHAnsi"/>
                <w:sz w:val="16"/>
                <w:szCs w:val="16"/>
              </w:rPr>
            </w:pPr>
          </w:p>
          <w:p w:rsidR="00557794" w:rsidRPr="000D7FA9" w:rsidRDefault="00557794" w:rsidP="001B26EB">
            <w:pPr>
              <w:jc w:val="center"/>
              <w:rPr>
                <w:rFonts w:cstheme="minorHAnsi"/>
                <w:sz w:val="16"/>
                <w:szCs w:val="16"/>
              </w:rPr>
            </w:pPr>
          </w:p>
          <w:p w:rsidR="001A31C6" w:rsidRPr="000D7FA9" w:rsidRDefault="001A31C6" w:rsidP="001B26EB">
            <w:pPr>
              <w:jc w:val="center"/>
              <w:rPr>
                <w:rFonts w:cstheme="minorHAnsi"/>
                <w:sz w:val="16"/>
                <w:szCs w:val="16"/>
              </w:rPr>
            </w:pPr>
            <w:r w:rsidRPr="00A46347">
              <w:rPr>
                <w:rFonts w:cstheme="minorHAnsi"/>
                <w:sz w:val="16"/>
                <w:szCs w:val="16"/>
              </w:rPr>
              <w:t>SB</w:t>
            </w:r>
            <w:r w:rsidRPr="000D7FA9">
              <w:rPr>
                <w:rFonts w:cstheme="minorHAnsi"/>
                <w:sz w:val="16"/>
                <w:szCs w:val="16"/>
              </w:rPr>
              <w:t xml:space="preserve"> 44</w:t>
            </w:r>
            <w:r w:rsidR="002C2C42">
              <w:rPr>
                <w:rFonts w:cstheme="minorHAnsi"/>
                <w:sz w:val="16"/>
                <w:szCs w:val="16"/>
              </w:rPr>
              <w:t>/</w:t>
            </w:r>
            <w:r w:rsidR="002C2C42" w:rsidRPr="00407C51">
              <w:rPr>
                <w:sz w:val="16"/>
                <w:szCs w:val="16"/>
              </w:rPr>
              <w:t>Act No. 2014-376</w:t>
            </w:r>
          </w:p>
        </w:tc>
        <w:tc>
          <w:tcPr>
            <w:tcW w:w="3060" w:type="dxa"/>
          </w:tcPr>
          <w:p w:rsidR="001A31C6" w:rsidRPr="000D7FA9" w:rsidRDefault="001A31C6" w:rsidP="000F18B1">
            <w:pPr>
              <w:rPr>
                <w:rFonts w:cstheme="minorHAnsi"/>
                <w:sz w:val="16"/>
                <w:szCs w:val="16"/>
              </w:rPr>
            </w:pPr>
            <w:r w:rsidRPr="000D7FA9">
              <w:rPr>
                <w:rFonts w:cstheme="minorHAnsi"/>
                <w:sz w:val="16"/>
                <w:szCs w:val="16"/>
              </w:rPr>
              <w:t xml:space="preserve">The bill was introduced on November 26, </w:t>
            </w:r>
            <w:r w:rsidR="00A96B00">
              <w:rPr>
                <w:rFonts w:cstheme="minorHAnsi"/>
                <w:sz w:val="16"/>
                <w:szCs w:val="16"/>
              </w:rPr>
              <w:t xml:space="preserve">2013.  The bill unanimously passed the Senate on January 23, and was read in the </w:t>
            </w:r>
            <w:r w:rsidR="000B00B8">
              <w:rPr>
                <w:rFonts w:cstheme="minorHAnsi"/>
                <w:sz w:val="16"/>
                <w:szCs w:val="16"/>
              </w:rPr>
              <w:t>House Financial Services Committee on January 30.</w:t>
            </w:r>
            <w:r w:rsidR="005A1E3C">
              <w:rPr>
                <w:rFonts w:cstheme="minorHAnsi"/>
                <w:sz w:val="16"/>
                <w:szCs w:val="16"/>
              </w:rPr>
              <w:t xml:space="preserve"> </w:t>
            </w:r>
            <w:r w:rsidR="00886FA6">
              <w:rPr>
                <w:rFonts w:cstheme="minorHAnsi"/>
                <w:sz w:val="16"/>
                <w:szCs w:val="16"/>
              </w:rPr>
              <w:t xml:space="preserve">  The bill passed the House on April 1.  </w:t>
            </w:r>
            <w:r w:rsidR="00B10FA9" w:rsidRPr="007B0B67">
              <w:rPr>
                <w:rFonts w:cstheme="minorHAnsi"/>
                <w:b/>
                <w:sz w:val="16"/>
                <w:szCs w:val="16"/>
              </w:rPr>
              <w:t>Governor Robert Bentley</w:t>
            </w:r>
            <w:r w:rsidR="00886FA6">
              <w:rPr>
                <w:rFonts w:cstheme="minorHAnsi"/>
                <w:b/>
                <w:sz w:val="16"/>
                <w:szCs w:val="16"/>
              </w:rPr>
              <w:t xml:space="preserve"> </w:t>
            </w:r>
            <w:r w:rsidR="004C01DC">
              <w:rPr>
                <w:rFonts w:cstheme="minorHAnsi"/>
                <w:b/>
                <w:sz w:val="16"/>
                <w:szCs w:val="16"/>
              </w:rPr>
              <w:t>signed SB 44 into law on April 8, 2014</w:t>
            </w:r>
            <w:r w:rsidR="000F18B1">
              <w:rPr>
                <w:rFonts w:cstheme="minorHAnsi"/>
                <w:b/>
                <w:sz w:val="16"/>
                <w:szCs w:val="16"/>
              </w:rPr>
              <w:t xml:space="preserve"> and</w:t>
            </w:r>
            <w:r w:rsidR="003368AE">
              <w:rPr>
                <w:rFonts w:cstheme="minorHAnsi"/>
                <w:b/>
                <w:sz w:val="16"/>
                <w:szCs w:val="16"/>
              </w:rPr>
              <w:t xml:space="preserve"> SB 44</w:t>
            </w:r>
            <w:r w:rsidR="000F18B1">
              <w:rPr>
                <w:rFonts w:cstheme="minorHAnsi"/>
                <w:b/>
                <w:sz w:val="16"/>
                <w:szCs w:val="16"/>
              </w:rPr>
              <w:t xml:space="preserve"> became immediately effective.</w:t>
            </w:r>
          </w:p>
        </w:tc>
        <w:tc>
          <w:tcPr>
            <w:tcW w:w="1170" w:type="dxa"/>
            <w:gridSpan w:val="2"/>
          </w:tcPr>
          <w:p w:rsidR="008E00E7" w:rsidRPr="000D7FA9" w:rsidRDefault="008E00E7" w:rsidP="005E51C9">
            <w:pPr>
              <w:jc w:val="center"/>
              <w:rPr>
                <w:rFonts w:cstheme="minorHAnsi"/>
                <w:sz w:val="16"/>
                <w:szCs w:val="16"/>
              </w:rPr>
            </w:pPr>
          </w:p>
          <w:p w:rsidR="008E00E7" w:rsidRDefault="008E00E7" w:rsidP="005E51C9">
            <w:pPr>
              <w:jc w:val="center"/>
              <w:rPr>
                <w:rFonts w:cstheme="minorHAnsi"/>
                <w:sz w:val="16"/>
                <w:szCs w:val="16"/>
              </w:rPr>
            </w:pPr>
          </w:p>
          <w:p w:rsidR="00557794" w:rsidRPr="000D7FA9" w:rsidRDefault="00557794" w:rsidP="005E51C9">
            <w:pPr>
              <w:jc w:val="center"/>
              <w:rPr>
                <w:rFonts w:cstheme="minorHAnsi"/>
                <w:sz w:val="16"/>
                <w:szCs w:val="16"/>
              </w:rPr>
            </w:pPr>
          </w:p>
          <w:p w:rsidR="001A31C6" w:rsidRPr="000D7FA9" w:rsidRDefault="00965DBD" w:rsidP="005E51C9">
            <w:pPr>
              <w:jc w:val="center"/>
              <w:rPr>
                <w:rFonts w:cstheme="minorHAnsi"/>
                <w:sz w:val="16"/>
                <w:szCs w:val="16"/>
              </w:rPr>
            </w:pPr>
            <w:r w:rsidRPr="000D7FA9">
              <w:rPr>
                <w:rFonts w:cstheme="minorHAnsi"/>
                <w:sz w:val="16"/>
                <w:szCs w:val="16"/>
              </w:rPr>
              <w:t>Yes</w:t>
            </w:r>
          </w:p>
        </w:tc>
        <w:tc>
          <w:tcPr>
            <w:tcW w:w="1057" w:type="dxa"/>
          </w:tcPr>
          <w:p w:rsidR="008E00E7" w:rsidRPr="000D7FA9" w:rsidRDefault="008E00E7" w:rsidP="005E51C9">
            <w:pPr>
              <w:jc w:val="center"/>
              <w:rPr>
                <w:rFonts w:cstheme="minorHAnsi"/>
                <w:sz w:val="16"/>
                <w:szCs w:val="16"/>
              </w:rPr>
            </w:pPr>
          </w:p>
          <w:p w:rsidR="008E00E7" w:rsidRDefault="008E00E7" w:rsidP="005E51C9">
            <w:pPr>
              <w:jc w:val="center"/>
              <w:rPr>
                <w:rFonts w:cstheme="minorHAnsi"/>
                <w:sz w:val="16"/>
                <w:szCs w:val="16"/>
              </w:rPr>
            </w:pPr>
          </w:p>
          <w:p w:rsidR="00557794" w:rsidRPr="000D7FA9" w:rsidRDefault="00557794" w:rsidP="005E51C9">
            <w:pPr>
              <w:jc w:val="center"/>
              <w:rPr>
                <w:rFonts w:cstheme="minorHAnsi"/>
                <w:sz w:val="16"/>
                <w:szCs w:val="16"/>
              </w:rPr>
            </w:pPr>
          </w:p>
          <w:p w:rsidR="001A31C6" w:rsidRPr="000D7FA9" w:rsidRDefault="00965DBD" w:rsidP="005E51C9">
            <w:pPr>
              <w:jc w:val="center"/>
              <w:rPr>
                <w:rFonts w:cstheme="minorHAnsi"/>
                <w:sz w:val="16"/>
                <w:szCs w:val="16"/>
              </w:rPr>
            </w:pPr>
            <w:r w:rsidRPr="000D7FA9">
              <w:rPr>
                <w:rFonts w:cstheme="minorHAnsi"/>
                <w:sz w:val="16"/>
                <w:szCs w:val="16"/>
              </w:rPr>
              <w:t>$1 million</w:t>
            </w:r>
          </w:p>
        </w:tc>
        <w:tc>
          <w:tcPr>
            <w:tcW w:w="1013" w:type="dxa"/>
            <w:gridSpan w:val="2"/>
          </w:tcPr>
          <w:p w:rsidR="008E00E7" w:rsidRDefault="008E00E7" w:rsidP="005E51C9">
            <w:pPr>
              <w:jc w:val="center"/>
              <w:rPr>
                <w:rFonts w:cstheme="minorHAnsi"/>
                <w:sz w:val="16"/>
                <w:szCs w:val="16"/>
              </w:rPr>
            </w:pPr>
          </w:p>
          <w:p w:rsidR="00557794" w:rsidRPr="000D7FA9" w:rsidRDefault="00557794" w:rsidP="005E51C9">
            <w:pPr>
              <w:jc w:val="center"/>
              <w:rPr>
                <w:rFonts w:cstheme="minorHAnsi"/>
                <w:sz w:val="16"/>
                <w:szCs w:val="16"/>
              </w:rPr>
            </w:pPr>
          </w:p>
          <w:p w:rsidR="001A31C6" w:rsidRPr="000D7FA9" w:rsidRDefault="00D3546C" w:rsidP="005E51C9">
            <w:pPr>
              <w:jc w:val="center"/>
              <w:rPr>
                <w:rFonts w:cstheme="minorHAnsi"/>
                <w:sz w:val="16"/>
                <w:szCs w:val="16"/>
              </w:rPr>
            </w:pPr>
            <w:r w:rsidRPr="000D7FA9">
              <w:rPr>
                <w:rFonts w:cstheme="minorHAnsi"/>
                <w:sz w:val="16"/>
                <w:szCs w:val="16"/>
              </w:rPr>
              <w:t>$</w:t>
            </w:r>
            <w:r w:rsidR="00DB5700" w:rsidRPr="000D7FA9">
              <w:rPr>
                <w:rFonts w:cstheme="minorHAnsi"/>
                <w:sz w:val="16"/>
                <w:szCs w:val="16"/>
              </w:rPr>
              <w:t>5</w:t>
            </w:r>
            <w:r w:rsidR="00965DBD" w:rsidRPr="000D7FA9">
              <w:rPr>
                <w:rFonts w:cstheme="minorHAnsi"/>
                <w:sz w:val="16"/>
                <w:szCs w:val="16"/>
              </w:rPr>
              <w:t>,000 unless accredited</w:t>
            </w:r>
          </w:p>
        </w:tc>
        <w:tc>
          <w:tcPr>
            <w:tcW w:w="1417" w:type="dxa"/>
          </w:tcPr>
          <w:p w:rsidR="008E00E7" w:rsidRPr="000D7FA9" w:rsidRDefault="008E00E7" w:rsidP="005E51C9">
            <w:pPr>
              <w:jc w:val="center"/>
              <w:rPr>
                <w:rFonts w:cstheme="minorHAnsi"/>
                <w:sz w:val="16"/>
                <w:szCs w:val="16"/>
              </w:rPr>
            </w:pPr>
          </w:p>
          <w:p w:rsidR="008E00E7" w:rsidRDefault="008E00E7" w:rsidP="005E51C9">
            <w:pPr>
              <w:jc w:val="center"/>
              <w:rPr>
                <w:rFonts w:cstheme="minorHAnsi"/>
                <w:sz w:val="16"/>
                <w:szCs w:val="16"/>
              </w:rPr>
            </w:pPr>
          </w:p>
          <w:p w:rsidR="00557794" w:rsidRPr="000D7FA9" w:rsidRDefault="00557794" w:rsidP="005E51C9">
            <w:pPr>
              <w:jc w:val="center"/>
              <w:rPr>
                <w:rFonts w:cstheme="minorHAnsi"/>
                <w:sz w:val="16"/>
                <w:szCs w:val="16"/>
              </w:rPr>
            </w:pPr>
          </w:p>
          <w:p w:rsidR="001A31C6" w:rsidRPr="000D7FA9" w:rsidRDefault="00410968" w:rsidP="005E51C9">
            <w:pPr>
              <w:jc w:val="center"/>
              <w:rPr>
                <w:rFonts w:cstheme="minorHAnsi"/>
                <w:sz w:val="16"/>
                <w:szCs w:val="16"/>
              </w:rPr>
            </w:pPr>
            <w:r w:rsidRPr="000D7FA9">
              <w:rPr>
                <w:rFonts w:cstheme="minorHAnsi"/>
                <w:sz w:val="16"/>
                <w:szCs w:val="16"/>
              </w:rPr>
              <w:t>No</w:t>
            </w:r>
            <w:r w:rsidR="00965DBD" w:rsidRPr="000D7FA9">
              <w:rPr>
                <w:rFonts w:cstheme="minorHAnsi"/>
                <w:sz w:val="16"/>
                <w:szCs w:val="16"/>
              </w:rPr>
              <w:t xml:space="preserve"> (unless BD)</w:t>
            </w:r>
          </w:p>
        </w:tc>
        <w:tc>
          <w:tcPr>
            <w:tcW w:w="1463" w:type="dxa"/>
            <w:gridSpan w:val="2"/>
          </w:tcPr>
          <w:p w:rsidR="008E00E7" w:rsidRPr="000D7FA9" w:rsidRDefault="008E00E7" w:rsidP="005E51C9">
            <w:pPr>
              <w:jc w:val="center"/>
              <w:rPr>
                <w:rFonts w:cstheme="minorHAnsi"/>
                <w:sz w:val="16"/>
                <w:szCs w:val="16"/>
              </w:rPr>
            </w:pPr>
          </w:p>
          <w:p w:rsidR="008E00E7" w:rsidRDefault="008E00E7" w:rsidP="005E51C9">
            <w:pPr>
              <w:jc w:val="center"/>
              <w:rPr>
                <w:rFonts w:cstheme="minorHAnsi"/>
                <w:sz w:val="16"/>
                <w:szCs w:val="16"/>
              </w:rPr>
            </w:pPr>
          </w:p>
          <w:p w:rsidR="00557794" w:rsidRPr="000D7FA9" w:rsidRDefault="00557794" w:rsidP="005E51C9">
            <w:pPr>
              <w:jc w:val="center"/>
              <w:rPr>
                <w:rFonts w:cstheme="minorHAnsi"/>
                <w:sz w:val="16"/>
                <w:szCs w:val="16"/>
              </w:rPr>
            </w:pPr>
          </w:p>
          <w:p w:rsidR="001A31C6" w:rsidRPr="000D7FA9" w:rsidRDefault="006A7A16" w:rsidP="005E51C9">
            <w:pPr>
              <w:jc w:val="center"/>
              <w:rPr>
                <w:rFonts w:cstheme="minorHAnsi"/>
                <w:sz w:val="16"/>
                <w:szCs w:val="16"/>
              </w:rPr>
            </w:pPr>
            <w:r w:rsidRPr="000D7FA9">
              <w:rPr>
                <w:rFonts w:cstheme="minorHAnsi"/>
                <w:sz w:val="16"/>
                <w:szCs w:val="16"/>
              </w:rPr>
              <w:t>Notice filing</w:t>
            </w:r>
          </w:p>
        </w:tc>
        <w:tc>
          <w:tcPr>
            <w:tcW w:w="697" w:type="dxa"/>
          </w:tcPr>
          <w:p w:rsidR="008E00E7" w:rsidRPr="000D7FA9" w:rsidRDefault="008E00E7" w:rsidP="005E51C9">
            <w:pPr>
              <w:jc w:val="center"/>
              <w:rPr>
                <w:rFonts w:cstheme="minorHAnsi"/>
                <w:sz w:val="16"/>
                <w:szCs w:val="16"/>
              </w:rPr>
            </w:pPr>
          </w:p>
          <w:p w:rsidR="008E00E7" w:rsidRDefault="008E00E7" w:rsidP="005E51C9">
            <w:pPr>
              <w:jc w:val="center"/>
              <w:rPr>
                <w:rFonts w:cstheme="minorHAnsi"/>
                <w:sz w:val="16"/>
                <w:szCs w:val="16"/>
              </w:rPr>
            </w:pPr>
          </w:p>
          <w:p w:rsidR="00557794" w:rsidRPr="000D7FA9" w:rsidRDefault="00557794" w:rsidP="005E51C9">
            <w:pPr>
              <w:jc w:val="center"/>
              <w:rPr>
                <w:rFonts w:cstheme="minorHAnsi"/>
                <w:sz w:val="16"/>
                <w:szCs w:val="16"/>
              </w:rPr>
            </w:pPr>
          </w:p>
          <w:p w:rsidR="001A31C6" w:rsidRPr="000D7FA9" w:rsidRDefault="006A7A16" w:rsidP="005E51C9">
            <w:pPr>
              <w:jc w:val="center"/>
              <w:rPr>
                <w:rFonts w:cstheme="minorHAnsi"/>
                <w:sz w:val="16"/>
                <w:szCs w:val="16"/>
              </w:rPr>
            </w:pPr>
            <w:r w:rsidRPr="000D7FA9">
              <w:rPr>
                <w:rFonts w:cstheme="minorHAnsi"/>
                <w:sz w:val="16"/>
                <w:szCs w:val="16"/>
              </w:rPr>
              <w:t>Yes</w:t>
            </w:r>
          </w:p>
        </w:tc>
        <w:tc>
          <w:tcPr>
            <w:tcW w:w="1170" w:type="dxa"/>
          </w:tcPr>
          <w:p w:rsidR="001A31C6" w:rsidRPr="000D7FA9" w:rsidRDefault="001A31C6" w:rsidP="005E51C9">
            <w:pPr>
              <w:jc w:val="center"/>
              <w:rPr>
                <w:rFonts w:cstheme="minorHAnsi"/>
                <w:sz w:val="16"/>
                <w:szCs w:val="16"/>
              </w:rPr>
            </w:pPr>
          </w:p>
        </w:tc>
        <w:tc>
          <w:tcPr>
            <w:tcW w:w="1170" w:type="dxa"/>
          </w:tcPr>
          <w:p w:rsidR="001A31C6" w:rsidRPr="000D7FA9" w:rsidRDefault="001A31C6" w:rsidP="005E51C9">
            <w:pPr>
              <w:jc w:val="center"/>
              <w:rPr>
                <w:rFonts w:cstheme="minorHAnsi"/>
                <w:sz w:val="16"/>
                <w:szCs w:val="16"/>
              </w:rPr>
            </w:pPr>
          </w:p>
        </w:tc>
        <w:tc>
          <w:tcPr>
            <w:tcW w:w="1283" w:type="dxa"/>
          </w:tcPr>
          <w:p w:rsidR="001A31C6" w:rsidRPr="000D7FA9" w:rsidRDefault="001A31C6" w:rsidP="005E51C9">
            <w:pPr>
              <w:jc w:val="center"/>
              <w:rPr>
                <w:rFonts w:cstheme="minorHAnsi"/>
                <w:sz w:val="16"/>
                <w:szCs w:val="16"/>
              </w:rPr>
            </w:pPr>
          </w:p>
        </w:tc>
      </w:tr>
      <w:tr w:rsidR="00AA3365" w:rsidRPr="000D7FA9" w:rsidTr="00174AA1">
        <w:trPr>
          <w:cantSplit/>
          <w:trHeight w:val="701"/>
          <w:jc w:val="center"/>
        </w:trPr>
        <w:tc>
          <w:tcPr>
            <w:tcW w:w="1075" w:type="dxa"/>
            <w:vAlign w:val="center"/>
          </w:tcPr>
          <w:p w:rsidR="00AA3365" w:rsidRPr="00560925" w:rsidRDefault="00AA3365" w:rsidP="00560925">
            <w:pPr>
              <w:jc w:val="center"/>
              <w:rPr>
                <w:rFonts w:cstheme="minorHAnsi"/>
                <w:sz w:val="16"/>
                <w:szCs w:val="16"/>
              </w:rPr>
            </w:pPr>
          </w:p>
          <w:p w:rsidR="00AA3365" w:rsidRPr="00560925" w:rsidRDefault="00AA3365" w:rsidP="00560925">
            <w:pPr>
              <w:jc w:val="center"/>
              <w:rPr>
                <w:rFonts w:cstheme="minorHAnsi"/>
                <w:sz w:val="16"/>
                <w:szCs w:val="16"/>
              </w:rPr>
            </w:pPr>
            <w:r w:rsidRPr="00560925">
              <w:rPr>
                <w:rFonts w:cstheme="minorHAnsi"/>
                <w:sz w:val="16"/>
                <w:szCs w:val="16"/>
              </w:rPr>
              <w:t>Alaska</w:t>
            </w:r>
          </w:p>
        </w:tc>
        <w:tc>
          <w:tcPr>
            <w:tcW w:w="1193" w:type="dxa"/>
            <w:vAlign w:val="center"/>
          </w:tcPr>
          <w:p w:rsidR="00AA3365" w:rsidRPr="00560925" w:rsidRDefault="00AA3365" w:rsidP="00560925">
            <w:pPr>
              <w:jc w:val="center"/>
              <w:rPr>
                <w:rFonts w:cstheme="minorHAnsi"/>
                <w:bCs/>
                <w:sz w:val="16"/>
                <w:szCs w:val="16"/>
              </w:rPr>
            </w:pPr>
          </w:p>
          <w:p w:rsidR="00AA3365" w:rsidRPr="00560925" w:rsidRDefault="00AA3365" w:rsidP="00560925">
            <w:pPr>
              <w:jc w:val="center"/>
              <w:rPr>
                <w:rFonts w:cstheme="minorHAnsi"/>
                <w:bCs/>
                <w:sz w:val="16"/>
                <w:szCs w:val="16"/>
              </w:rPr>
            </w:pPr>
            <w:r w:rsidRPr="00560925">
              <w:rPr>
                <w:rFonts w:cstheme="minorHAnsi"/>
                <w:bCs/>
                <w:sz w:val="16"/>
                <w:szCs w:val="16"/>
              </w:rPr>
              <w:t>HB 303*</w:t>
            </w:r>
          </w:p>
        </w:tc>
        <w:tc>
          <w:tcPr>
            <w:tcW w:w="3060" w:type="dxa"/>
            <w:vAlign w:val="center"/>
          </w:tcPr>
          <w:p w:rsidR="00AA3365" w:rsidRPr="00560925" w:rsidRDefault="00AA3365" w:rsidP="009F6FC1">
            <w:pPr>
              <w:rPr>
                <w:rFonts w:cstheme="minorHAnsi"/>
                <w:sz w:val="16"/>
                <w:szCs w:val="16"/>
              </w:rPr>
            </w:pPr>
            <w:r w:rsidRPr="00560925">
              <w:rPr>
                <w:rFonts w:cstheme="minorHAnsi"/>
                <w:sz w:val="16"/>
                <w:szCs w:val="16"/>
              </w:rPr>
              <w:t>The bil</w:t>
            </w:r>
            <w:r w:rsidR="00057260" w:rsidRPr="00560925">
              <w:rPr>
                <w:rFonts w:cstheme="minorHAnsi"/>
                <w:sz w:val="16"/>
                <w:szCs w:val="16"/>
              </w:rPr>
              <w:t>l was introduced on February 12</w:t>
            </w:r>
            <w:r w:rsidR="00773EDE">
              <w:rPr>
                <w:rFonts w:cstheme="minorHAnsi"/>
                <w:sz w:val="16"/>
                <w:szCs w:val="16"/>
              </w:rPr>
              <w:t>, 2014</w:t>
            </w:r>
            <w:r w:rsidR="00057260" w:rsidRPr="00560925">
              <w:rPr>
                <w:rFonts w:cstheme="minorHAnsi"/>
                <w:sz w:val="16"/>
                <w:szCs w:val="16"/>
              </w:rPr>
              <w:t xml:space="preserve"> and was </w:t>
            </w:r>
            <w:r w:rsidR="00117745" w:rsidRPr="00560925">
              <w:rPr>
                <w:rFonts w:cstheme="minorHAnsi"/>
                <w:sz w:val="16"/>
                <w:szCs w:val="16"/>
              </w:rPr>
              <w:t>referred to the House Labor and Commerce Committee.</w:t>
            </w:r>
          </w:p>
        </w:tc>
        <w:tc>
          <w:tcPr>
            <w:tcW w:w="1170" w:type="dxa"/>
            <w:gridSpan w:val="2"/>
            <w:vAlign w:val="center"/>
          </w:tcPr>
          <w:p w:rsidR="00FC6285" w:rsidRPr="00560925" w:rsidRDefault="00FC6285" w:rsidP="00560925">
            <w:pPr>
              <w:jc w:val="center"/>
              <w:rPr>
                <w:rFonts w:cstheme="minorHAnsi"/>
                <w:sz w:val="16"/>
                <w:szCs w:val="16"/>
              </w:rPr>
            </w:pPr>
            <w:r w:rsidRPr="00560925">
              <w:rPr>
                <w:rFonts w:cstheme="minorHAnsi"/>
                <w:sz w:val="16"/>
                <w:szCs w:val="16"/>
              </w:rPr>
              <w:t>Yes</w:t>
            </w:r>
            <w:r w:rsidR="00603F83" w:rsidRPr="00560925">
              <w:rPr>
                <w:rFonts w:cstheme="minorHAnsi"/>
                <w:sz w:val="16"/>
                <w:szCs w:val="16"/>
              </w:rPr>
              <w:t xml:space="preserve"> (residency verification by password)</w:t>
            </w:r>
          </w:p>
        </w:tc>
        <w:tc>
          <w:tcPr>
            <w:tcW w:w="1057" w:type="dxa"/>
            <w:vAlign w:val="center"/>
          </w:tcPr>
          <w:p w:rsidR="00984255" w:rsidRPr="00560925" w:rsidRDefault="00984255" w:rsidP="00560925">
            <w:pPr>
              <w:jc w:val="center"/>
              <w:rPr>
                <w:rFonts w:cstheme="minorHAnsi"/>
                <w:sz w:val="16"/>
                <w:szCs w:val="16"/>
              </w:rPr>
            </w:pPr>
            <w:r w:rsidRPr="00560925">
              <w:rPr>
                <w:rFonts w:cstheme="minorHAnsi"/>
                <w:sz w:val="16"/>
                <w:szCs w:val="16"/>
              </w:rPr>
              <w:t>$1 million</w:t>
            </w:r>
          </w:p>
        </w:tc>
        <w:tc>
          <w:tcPr>
            <w:tcW w:w="1013" w:type="dxa"/>
            <w:gridSpan w:val="2"/>
            <w:vAlign w:val="center"/>
          </w:tcPr>
          <w:p w:rsidR="00984255" w:rsidRPr="00560925" w:rsidRDefault="00984255" w:rsidP="00560925">
            <w:pPr>
              <w:jc w:val="center"/>
              <w:rPr>
                <w:rFonts w:cstheme="minorHAnsi"/>
                <w:sz w:val="16"/>
                <w:szCs w:val="16"/>
              </w:rPr>
            </w:pPr>
            <w:r w:rsidRPr="00560925">
              <w:rPr>
                <w:rFonts w:cstheme="minorHAnsi"/>
                <w:sz w:val="16"/>
                <w:szCs w:val="16"/>
              </w:rPr>
              <w:t>Same as JOBS Act</w:t>
            </w:r>
          </w:p>
        </w:tc>
        <w:tc>
          <w:tcPr>
            <w:tcW w:w="1417" w:type="dxa"/>
            <w:vAlign w:val="center"/>
          </w:tcPr>
          <w:p w:rsidR="00AA3365" w:rsidRPr="00560925" w:rsidRDefault="00AA3365" w:rsidP="00560925">
            <w:pPr>
              <w:jc w:val="center"/>
              <w:rPr>
                <w:rFonts w:cstheme="minorHAnsi"/>
                <w:sz w:val="16"/>
                <w:szCs w:val="16"/>
              </w:rPr>
            </w:pPr>
          </w:p>
        </w:tc>
        <w:tc>
          <w:tcPr>
            <w:tcW w:w="1463" w:type="dxa"/>
            <w:gridSpan w:val="2"/>
            <w:vAlign w:val="center"/>
          </w:tcPr>
          <w:p w:rsidR="0014708D" w:rsidRPr="00560925" w:rsidRDefault="001337D3" w:rsidP="00560925">
            <w:pPr>
              <w:jc w:val="center"/>
              <w:rPr>
                <w:rFonts w:cstheme="minorHAnsi"/>
                <w:sz w:val="16"/>
                <w:szCs w:val="16"/>
              </w:rPr>
            </w:pPr>
            <w:r w:rsidRPr="00560925">
              <w:rPr>
                <w:rFonts w:cstheme="minorHAnsi"/>
                <w:sz w:val="16"/>
                <w:szCs w:val="16"/>
              </w:rPr>
              <w:t>Self-executing (incl. disclosure doc)</w:t>
            </w:r>
          </w:p>
        </w:tc>
        <w:tc>
          <w:tcPr>
            <w:tcW w:w="697" w:type="dxa"/>
            <w:vAlign w:val="center"/>
          </w:tcPr>
          <w:p w:rsidR="00AA3365" w:rsidRPr="00560925" w:rsidRDefault="00AA3365" w:rsidP="00560925">
            <w:pPr>
              <w:jc w:val="center"/>
              <w:rPr>
                <w:rFonts w:cstheme="minorHAnsi"/>
                <w:sz w:val="16"/>
                <w:szCs w:val="16"/>
              </w:rPr>
            </w:pPr>
          </w:p>
          <w:p w:rsidR="009A4C66" w:rsidRPr="00560925" w:rsidRDefault="009A4C66" w:rsidP="00560925">
            <w:pPr>
              <w:jc w:val="center"/>
              <w:rPr>
                <w:rFonts w:cstheme="minorHAnsi"/>
                <w:sz w:val="16"/>
                <w:szCs w:val="16"/>
              </w:rPr>
            </w:pPr>
          </w:p>
        </w:tc>
        <w:tc>
          <w:tcPr>
            <w:tcW w:w="1170" w:type="dxa"/>
            <w:vAlign w:val="center"/>
          </w:tcPr>
          <w:p w:rsidR="007C7FC8" w:rsidRPr="00560925" w:rsidRDefault="007C7FC8" w:rsidP="00560925">
            <w:pPr>
              <w:jc w:val="center"/>
              <w:rPr>
                <w:rFonts w:cstheme="minorHAnsi"/>
                <w:sz w:val="16"/>
                <w:szCs w:val="16"/>
              </w:rPr>
            </w:pPr>
          </w:p>
          <w:p w:rsidR="00AA3365" w:rsidRPr="00560925" w:rsidRDefault="00AA3365" w:rsidP="00560925">
            <w:pPr>
              <w:jc w:val="center"/>
              <w:rPr>
                <w:rFonts w:cstheme="minorHAnsi"/>
                <w:sz w:val="16"/>
                <w:szCs w:val="16"/>
              </w:rPr>
            </w:pPr>
          </w:p>
        </w:tc>
        <w:tc>
          <w:tcPr>
            <w:tcW w:w="1170" w:type="dxa"/>
            <w:vAlign w:val="center"/>
          </w:tcPr>
          <w:p w:rsidR="00AA3365" w:rsidRPr="00560925" w:rsidRDefault="002E1430" w:rsidP="00560925">
            <w:pPr>
              <w:jc w:val="center"/>
              <w:rPr>
                <w:rFonts w:cstheme="minorHAnsi"/>
                <w:sz w:val="16"/>
                <w:szCs w:val="16"/>
              </w:rPr>
            </w:pPr>
            <w:r w:rsidRPr="00560925">
              <w:rPr>
                <w:rFonts w:cstheme="minorHAnsi"/>
                <w:sz w:val="16"/>
                <w:szCs w:val="16"/>
              </w:rPr>
              <w:t>Yes, quarterly report to investors</w:t>
            </w:r>
          </w:p>
        </w:tc>
        <w:tc>
          <w:tcPr>
            <w:tcW w:w="1283" w:type="dxa"/>
            <w:vAlign w:val="center"/>
          </w:tcPr>
          <w:p w:rsidR="00AA3365" w:rsidRPr="00560925" w:rsidRDefault="00AA3365" w:rsidP="00560925">
            <w:pPr>
              <w:jc w:val="center"/>
              <w:rPr>
                <w:rFonts w:cstheme="minorHAnsi"/>
                <w:sz w:val="16"/>
                <w:szCs w:val="16"/>
              </w:rPr>
            </w:pPr>
          </w:p>
        </w:tc>
      </w:tr>
      <w:tr w:rsidR="00565A34" w:rsidRPr="000D7FA9" w:rsidTr="00A011E0">
        <w:trPr>
          <w:cantSplit/>
          <w:trHeight w:val="701"/>
          <w:jc w:val="center"/>
        </w:trPr>
        <w:tc>
          <w:tcPr>
            <w:tcW w:w="1075" w:type="dxa"/>
            <w:vAlign w:val="center"/>
          </w:tcPr>
          <w:p w:rsidR="00565A34" w:rsidRPr="009E79E5" w:rsidRDefault="00565A34" w:rsidP="00565A34">
            <w:pPr>
              <w:jc w:val="center"/>
              <w:rPr>
                <w:rFonts w:cstheme="minorHAnsi"/>
                <w:sz w:val="16"/>
                <w:szCs w:val="16"/>
              </w:rPr>
            </w:pPr>
            <w:r>
              <w:rPr>
                <w:rFonts w:cstheme="minorHAnsi"/>
                <w:sz w:val="16"/>
                <w:szCs w:val="16"/>
              </w:rPr>
              <w:t>Arkansas</w:t>
            </w:r>
          </w:p>
        </w:tc>
        <w:tc>
          <w:tcPr>
            <w:tcW w:w="1193" w:type="dxa"/>
            <w:vAlign w:val="center"/>
          </w:tcPr>
          <w:p w:rsidR="00565A34" w:rsidRPr="009E79E5" w:rsidRDefault="00565A34" w:rsidP="00565A34">
            <w:pPr>
              <w:jc w:val="center"/>
              <w:rPr>
                <w:rFonts w:cstheme="minorHAnsi"/>
                <w:bCs/>
                <w:sz w:val="16"/>
                <w:szCs w:val="16"/>
              </w:rPr>
            </w:pPr>
            <w:r>
              <w:rPr>
                <w:rFonts w:cstheme="minorHAnsi"/>
                <w:bCs/>
                <w:sz w:val="16"/>
                <w:szCs w:val="16"/>
              </w:rPr>
              <w:t>SB 665/ Act No. 460</w:t>
            </w:r>
          </w:p>
        </w:tc>
        <w:tc>
          <w:tcPr>
            <w:tcW w:w="3060" w:type="dxa"/>
          </w:tcPr>
          <w:p w:rsidR="00565A34" w:rsidRDefault="00565A34" w:rsidP="00565A34">
            <w:pPr>
              <w:rPr>
                <w:rFonts w:cstheme="minorHAnsi"/>
                <w:sz w:val="16"/>
                <w:szCs w:val="16"/>
              </w:rPr>
            </w:pPr>
          </w:p>
          <w:p w:rsidR="00565A34" w:rsidRPr="00CE3112" w:rsidRDefault="00565A34" w:rsidP="00565A34">
            <w:pPr>
              <w:rPr>
                <w:rFonts w:cstheme="minorHAnsi"/>
                <w:b/>
                <w:sz w:val="16"/>
                <w:szCs w:val="16"/>
              </w:rPr>
            </w:pPr>
            <w:r w:rsidRPr="00CE3112">
              <w:rPr>
                <w:rFonts w:cstheme="minorHAnsi"/>
                <w:b/>
                <w:sz w:val="16"/>
                <w:szCs w:val="16"/>
              </w:rPr>
              <w:t xml:space="preserve">Governor Mike Beebe signed the bill into law on March 21, 2013. </w:t>
            </w:r>
          </w:p>
        </w:tc>
        <w:tc>
          <w:tcPr>
            <w:tcW w:w="10440" w:type="dxa"/>
            <w:gridSpan w:val="12"/>
          </w:tcPr>
          <w:p w:rsidR="00565A34" w:rsidRPr="000D7FA9" w:rsidRDefault="00565A34" w:rsidP="00565A34">
            <w:pPr>
              <w:rPr>
                <w:rFonts w:cstheme="minorHAnsi"/>
                <w:i/>
                <w:sz w:val="16"/>
                <w:szCs w:val="16"/>
              </w:rPr>
            </w:pPr>
          </w:p>
          <w:p w:rsidR="00565A34" w:rsidRPr="009E79E5" w:rsidRDefault="00565A34" w:rsidP="001307E8">
            <w:pPr>
              <w:rPr>
                <w:rFonts w:cstheme="minorHAnsi"/>
                <w:sz w:val="16"/>
                <w:szCs w:val="16"/>
              </w:rPr>
            </w:pPr>
            <w:r w:rsidRPr="000D7FA9">
              <w:rPr>
                <w:rFonts w:cstheme="minorHAnsi"/>
                <w:i/>
                <w:sz w:val="16"/>
                <w:szCs w:val="16"/>
              </w:rPr>
              <w:t xml:space="preserve">This bill is </w:t>
            </w:r>
            <w:r w:rsidRPr="00A96B00">
              <w:rPr>
                <w:rFonts w:cstheme="minorHAnsi"/>
                <w:i/>
                <w:sz w:val="16"/>
                <w:szCs w:val="16"/>
                <w:u w:val="single"/>
              </w:rPr>
              <w:t>tied to the federal crowdfunding exemption</w:t>
            </w:r>
            <w:r w:rsidRPr="000D7FA9">
              <w:rPr>
                <w:rFonts w:cstheme="minorHAnsi"/>
                <w:i/>
                <w:sz w:val="16"/>
                <w:szCs w:val="16"/>
              </w:rPr>
              <w:t xml:space="preserve"> and provides </w:t>
            </w:r>
            <w:r w:rsidR="00CE3112">
              <w:rPr>
                <w:rFonts w:cstheme="minorHAnsi"/>
                <w:i/>
                <w:sz w:val="16"/>
                <w:szCs w:val="16"/>
              </w:rPr>
              <w:t>for a home state notice filing and fee for</w:t>
            </w:r>
            <w:r w:rsidR="001307E8">
              <w:rPr>
                <w:rFonts w:cstheme="minorHAnsi"/>
                <w:i/>
                <w:sz w:val="16"/>
                <w:szCs w:val="16"/>
              </w:rPr>
              <w:t xml:space="preserve"> </w:t>
            </w:r>
            <w:r w:rsidR="00CE3112">
              <w:rPr>
                <w:rFonts w:cstheme="minorHAnsi"/>
                <w:i/>
                <w:sz w:val="16"/>
                <w:szCs w:val="16"/>
              </w:rPr>
              <w:t>issue</w:t>
            </w:r>
            <w:r w:rsidR="001307E8">
              <w:rPr>
                <w:rFonts w:cstheme="minorHAnsi"/>
                <w:i/>
                <w:sz w:val="16"/>
                <w:szCs w:val="16"/>
              </w:rPr>
              <w:t xml:space="preserve">r </w:t>
            </w:r>
            <w:r w:rsidR="00CE3112">
              <w:rPr>
                <w:rFonts w:cstheme="minorHAnsi"/>
                <w:i/>
                <w:sz w:val="16"/>
                <w:szCs w:val="16"/>
              </w:rPr>
              <w:t xml:space="preserve">or </w:t>
            </w:r>
            <w:r w:rsidR="001307E8">
              <w:rPr>
                <w:rFonts w:cstheme="minorHAnsi"/>
                <w:i/>
                <w:sz w:val="16"/>
                <w:szCs w:val="16"/>
              </w:rPr>
              <w:t xml:space="preserve">if </w:t>
            </w:r>
            <w:r w:rsidR="00CE3112">
              <w:rPr>
                <w:rFonts w:cstheme="minorHAnsi"/>
                <w:i/>
                <w:sz w:val="16"/>
                <w:szCs w:val="16"/>
              </w:rPr>
              <w:t xml:space="preserve">conducting 50% or more sales to residents.  </w:t>
            </w:r>
            <w:r w:rsidRPr="000D7FA9">
              <w:rPr>
                <w:rFonts w:cstheme="minorHAnsi"/>
                <w:i/>
                <w:sz w:val="16"/>
                <w:szCs w:val="16"/>
              </w:rPr>
              <w:t xml:space="preserve"> </w:t>
            </w:r>
          </w:p>
        </w:tc>
      </w:tr>
      <w:tr w:rsidR="00174AA1" w:rsidRPr="000D7FA9" w:rsidTr="008C239A">
        <w:trPr>
          <w:cantSplit/>
          <w:trHeight w:val="701"/>
          <w:jc w:val="center"/>
        </w:trPr>
        <w:tc>
          <w:tcPr>
            <w:tcW w:w="1075" w:type="dxa"/>
            <w:vAlign w:val="center"/>
          </w:tcPr>
          <w:p w:rsidR="00174AA1" w:rsidRDefault="00174AA1" w:rsidP="00565A34">
            <w:pPr>
              <w:jc w:val="center"/>
              <w:rPr>
                <w:rFonts w:cstheme="minorHAnsi"/>
                <w:sz w:val="16"/>
                <w:szCs w:val="16"/>
              </w:rPr>
            </w:pPr>
            <w:r>
              <w:rPr>
                <w:rFonts w:cstheme="minorHAnsi"/>
                <w:sz w:val="16"/>
                <w:szCs w:val="16"/>
              </w:rPr>
              <w:t>California</w:t>
            </w:r>
          </w:p>
        </w:tc>
        <w:tc>
          <w:tcPr>
            <w:tcW w:w="1193" w:type="dxa"/>
            <w:vAlign w:val="center"/>
          </w:tcPr>
          <w:p w:rsidR="00174AA1" w:rsidRPr="00116B48" w:rsidRDefault="00174AA1" w:rsidP="00565A34">
            <w:pPr>
              <w:jc w:val="center"/>
              <w:rPr>
                <w:rFonts w:cstheme="minorHAnsi"/>
                <w:bCs/>
                <w:sz w:val="16"/>
                <w:szCs w:val="16"/>
              </w:rPr>
            </w:pPr>
            <w:r>
              <w:rPr>
                <w:rFonts w:cstheme="minorHAnsi"/>
                <w:bCs/>
                <w:sz w:val="16"/>
                <w:szCs w:val="16"/>
              </w:rPr>
              <w:t>AB 2096*</w:t>
            </w:r>
          </w:p>
        </w:tc>
        <w:tc>
          <w:tcPr>
            <w:tcW w:w="3060" w:type="dxa"/>
          </w:tcPr>
          <w:p w:rsidR="00174AA1" w:rsidRDefault="00174AA1" w:rsidP="00EB32D7">
            <w:pPr>
              <w:rPr>
                <w:rFonts w:cstheme="minorHAnsi"/>
                <w:sz w:val="16"/>
                <w:szCs w:val="16"/>
              </w:rPr>
            </w:pPr>
            <w:r>
              <w:rPr>
                <w:rFonts w:cstheme="minorHAnsi"/>
                <w:sz w:val="16"/>
                <w:szCs w:val="16"/>
              </w:rPr>
              <w:t>The bill was introduced on February 2</w:t>
            </w:r>
            <w:r w:rsidR="00B43E61">
              <w:rPr>
                <w:rFonts w:cstheme="minorHAnsi"/>
                <w:sz w:val="16"/>
                <w:szCs w:val="16"/>
              </w:rPr>
              <w:t xml:space="preserve">0, 2014 </w:t>
            </w:r>
            <w:r w:rsidR="00EB32D7">
              <w:rPr>
                <w:rFonts w:cstheme="minorHAnsi"/>
                <w:sz w:val="16"/>
                <w:szCs w:val="16"/>
              </w:rPr>
              <w:t>and the state Assembly passed the bill on</w:t>
            </w:r>
            <w:r w:rsidR="008C239A">
              <w:rPr>
                <w:rFonts w:cstheme="minorHAnsi"/>
                <w:sz w:val="16"/>
                <w:szCs w:val="16"/>
              </w:rPr>
              <w:t xml:space="preserve"> May 19</w:t>
            </w:r>
            <w:r>
              <w:rPr>
                <w:rFonts w:cstheme="minorHAnsi"/>
                <w:sz w:val="16"/>
                <w:szCs w:val="16"/>
              </w:rPr>
              <w:t xml:space="preserve">.  </w:t>
            </w:r>
            <w:r w:rsidR="00650ECF">
              <w:rPr>
                <w:rFonts w:cstheme="minorHAnsi"/>
                <w:sz w:val="16"/>
                <w:szCs w:val="16"/>
              </w:rPr>
              <w:t>On August 1</w:t>
            </w:r>
            <w:r w:rsidR="00693B58">
              <w:rPr>
                <w:rFonts w:cstheme="minorHAnsi"/>
                <w:sz w:val="16"/>
                <w:szCs w:val="16"/>
              </w:rPr>
              <w:t>1</w:t>
            </w:r>
            <w:r w:rsidR="00650ECF">
              <w:rPr>
                <w:rFonts w:cstheme="minorHAnsi"/>
                <w:sz w:val="16"/>
                <w:szCs w:val="16"/>
              </w:rPr>
              <w:t xml:space="preserve"> the bill was placed on the Senate Appropriations</w:t>
            </w:r>
            <w:r w:rsidR="002F7B57">
              <w:rPr>
                <w:rFonts w:cstheme="minorHAnsi"/>
                <w:sz w:val="16"/>
                <w:szCs w:val="16"/>
              </w:rPr>
              <w:t xml:space="preserve"> Committee </w:t>
            </w:r>
            <w:r w:rsidR="00650ECF">
              <w:rPr>
                <w:rFonts w:cstheme="minorHAnsi"/>
                <w:sz w:val="16"/>
                <w:szCs w:val="16"/>
              </w:rPr>
              <w:t xml:space="preserve">Suspense </w:t>
            </w:r>
            <w:r w:rsidR="002F7B57">
              <w:rPr>
                <w:rFonts w:cstheme="minorHAnsi"/>
                <w:sz w:val="16"/>
                <w:szCs w:val="16"/>
              </w:rPr>
              <w:t xml:space="preserve">File </w:t>
            </w:r>
            <w:r w:rsidR="00693B58">
              <w:rPr>
                <w:rFonts w:cstheme="minorHAnsi"/>
                <w:sz w:val="16"/>
                <w:szCs w:val="16"/>
              </w:rPr>
              <w:t>and on August 14 the bill was held under submission.</w:t>
            </w:r>
            <w:r w:rsidR="001A4E03">
              <w:rPr>
                <w:rFonts w:cstheme="minorHAnsi"/>
                <w:sz w:val="16"/>
                <w:szCs w:val="16"/>
              </w:rPr>
              <w:t xml:space="preserve"> </w:t>
            </w:r>
          </w:p>
        </w:tc>
        <w:tc>
          <w:tcPr>
            <w:tcW w:w="1160" w:type="dxa"/>
            <w:vAlign w:val="center"/>
          </w:tcPr>
          <w:p w:rsidR="00174AA1" w:rsidRPr="00D61162" w:rsidRDefault="008C239A" w:rsidP="00D61162">
            <w:pPr>
              <w:jc w:val="center"/>
              <w:rPr>
                <w:rFonts w:cstheme="minorHAnsi"/>
                <w:sz w:val="16"/>
                <w:szCs w:val="16"/>
              </w:rPr>
            </w:pPr>
            <w:r>
              <w:rPr>
                <w:rFonts w:cstheme="minorHAnsi"/>
                <w:sz w:val="16"/>
                <w:szCs w:val="16"/>
              </w:rPr>
              <w:t>No (Rule 504)</w:t>
            </w:r>
          </w:p>
        </w:tc>
        <w:tc>
          <w:tcPr>
            <w:tcW w:w="1067" w:type="dxa"/>
            <w:gridSpan w:val="2"/>
            <w:vAlign w:val="center"/>
          </w:tcPr>
          <w:p w:rsidR="00174AA1" w:rsidRPr="009472EE" w:rsidRDefault="00D61162" w:rsidP="009472EE">
            <w:pPr>
              <w:jc w:val="center"/>
              <w:rPr>
                <w:rFonts w:cstheme="minorHAnsi"/>
                <w:sz w:val="16"/>
                <w:szCs w:val="16"/>
              </w:rPr>
            </w:pPr>
            <w:r>
              <w:rPr>
                <w:rFonts w:cstheme="minorHAnsi"/>
                <w:sz w:val="16"/>
                <w:szCs w:val="16"/>
              </w:rPr>
              <w:t>$1 million</w:t>
            </w:r>
          </w:p>
        </w:tc>
        <w:tc>
          <w:tcPr>
            <w:tcW w:w="990" w:type="dxa"/>
            <w:vAlign w:val="center"/>
          </w:tcPr>
          <w:p w:rsidR="00174AA1" w:rsidRPr="009472EE" w:rsidRDefault="00D61162" w:rsidP="009472EE">
            <w:pPr>
              <w:jc w:val="center"/>
              <w:rPr>
                <w:rFonts w:cstheme="minorHAnsi"/>
                <w:sz w:val="16"/>
                <w:szCs w:val="16"/>
              </w:rPr>
            </w:pPr>
            <w:r>
              <w:rPr>
                <w:rFonts w:cstheme="minorHAnsi"/>
                <w:sz w:val="16"/>
                <w:szCs w:val="16"/>
              </w:rPr>
              <w:t>$5,000 unless accredited</w:t>
            </w:r>
          </w:p>
        </w:tc>
        <w:tc>
          <w:tcPr>
            <w:tcW w:w="1440" w:type="dxa"/>
            <w:gridSpan w:val="2"/>
            <w:vAlign w:val="center"/>
          </w:tcPr>
          <w:p w:rsidR="00174AA1" w:rsidRDefault="00174AA1" w:rsidP="00116B48">
            <w:pPr>
              <w:rPr>
                <w:rFonts w:cstheme="minorHAnsi"/>
                <w:i/>
                <w:sz w:val="16"/>
                <w:szCs w:val="16"/>
              </w:rPr>
            </w:pPr>
          </w:p>
        </w:tc>
        <w:tc>
          <w:tcPr>
            <w:tcW w:w="1440" w:type="dxa"/>
            <w:vAlign w:val="center"/>
          </w:tcPr>
          <w:p w:rsidR="00174AA1" w:rsidRPr="008C239A" w:rsidRDefault="008C239A" w:rsidP="008C239A">
            <w:pPr>
              <w:jc w:val="center"/>
              <w:rPr>
                <w:rFonts w:cstheme="minorHAnsi"/>
                <w:sz w:val="16"/>
                <w:szCs w:val="16"/>
              </w:rPr>
            </w:pPr>
            <w:r>
              <w:rPr>
                <w:rFonts w:cstheme="minorHAnsi"/>
                <w:sz w:val="16"/>
                <w:szCs w:val="16"/>
              </w:rPr>
              <w:t>SCOR disclosure document on Form U-7</w:t>
            </w:r>
          </w:p>
        </w:tc>
        <w:tc>
          <w:tcPr>
            <w:tcW w:w="720" w:type="dxa"/>
            <w:gridSpan w:val="2"/>
            <w:vAlign w:val="center"/>
          </w:tcPr>
          <w:p w:rsidR="00174AA1" w:rsidRPr="009472EE" w:rsidRDefault="008C239A" w:rsidP="009472EE">
            <w:pPr>
              <w:jc w:val="center"/>
              <w:rPr>
                <w:rFonts w:cstheme="minorHAnsi"/>
                <w:sz w:val="16"/>
                <w:szCs w:val="16"/>
              </w:rPr>
            </w:pPr>
            <w:r>
              <w:rPr>
                <w:rFonts w:cstheme="minorHAnsi"/>
                <w:sz w:val="16"/>
                <w:szCs w:val="16"/>
              </w:rPr>
              <w:t>Yes</w:t>
            </w:r>
          </w:p>
        </w:tc>
        <w:tc>
          <w:tcPr>
            <w:tcW w:w="1170" w:type="dxa"/>
            <w:vAlign w:val="center"/>
          </w:tcPr>
          <w:p w:rsidR="00174AA1" w:rsidRDefault="00174AA1" w:rsidP="00116B48">
            <w:pPr>
              <w:rPr>
                <w:rFonts w:cstheme="minorHAnsi"/>
                <w:i/>
                <w:sz w:val="16"/>
                <w:szCs w:val="16"/>
              </w:rPr>
            </w:pPr>
          </w:p>
        </w:tc>
        <w:tc>
          <w:tcPr>
            <w:tcW w:w="1170" w:type="dxa"/>
            <w:vAlign w:val="center"/>
          </w:tcPr>
          <w:p w:rsidR="00174AA1" w:rsidRPr="009472EE" w:rsidRDefault="00174AA1" w:rsidP="009472EE">
            <w:pPr>
              <w:jc w:val="center"/>
              <w:rPr>
                <w:rFonts w:cstheme="minorHAnsi"/>
                <w:sz w:val="16"/>
                <w:szCs w:val="16"/>
              </w:rPr>
            </w:pPr>
          </w:p>
        </w:tc>
        <w:tc>
          <w:tcPr>
            <w:tcW w:w="1283" w:type="dxa"/>
            <w:vAlign w:val="center"/>
          </w:tcPr>
          <w:p w:rsidR="00174AA1" w:rsidRDefault="00174AA1" w:rsidP="00116B48">
            <w:pPr>
              <w:rPr>
                <w:rFonts w:cstheme="minorHAnsi"/>
                <w:i/>
                <w:sz w:val="16"/>
                <w:szCs w:val="16"/>
              </w:rPr>
            </w:pPr>
          </w:p>
        </w:tc>
      </w:tr>
      <w:tr w:rsidR="00116B48" w:rsidRPr="000D7FA9" w:rsidTr="00116B48">
        <w:trPr>
          <w:cantSplit/>
          <w:trHeight w:val="701"/>
          <w:jc w:val="center"/>
        </w:trPr>
        <w:tc>
          <w:tcPr>
            <w:tcW w:w="1075" w:type="dxa"/>
            <w:vAlign w:val="center"/>
          </w:tcPr>
          <w:p w:rsidR="00116B48" w:rsidRDefault="00116B48" w:rsidP="00565A34">
            <w:pPr>
              <w:jc w:val="center"/>
              <w:rPr>
                <w:rFonts w:cstheme="minorHAnsi"/>
                <w:sz w:val="16"/>
                <w:szCs w:val="16"/>
              </w:rPr>
            </w:pPr>
            <w:r>
              <w:rPr>
                <w:rFonts w:cstheme="minorHAnsi"/>
                <w:sz w:val="16"/>
                <w:szCs w:val="16"/>
              </w:rPr>
              <w:t>Connecticut</w:t>
            </w:r>
          </w:p>
        </w:tc>
        <w:tc>
          <w:tcPr>
            <w:tcW w:w="1193" w:type="dxa"/>
            <w:vAlign w:val="center"/>
          </w:tcPr>
          <w:p w:rsidR="00116B48" w:rsidRDefault="00116B48" w:rsidP="00565A34">
            <w:pPr>
              <w:jc w:val="center"/>
              <w:rPr>
                <w:rFonts w:cstheme="minorHAnsi"/>
                <w:bCs/>
                <w:sz w:val="16"/>
                <w:szCs w:val="16"/>
              </w:rPr>
            </w:pPr>
            <w:r w:rsidRPr="00116B48">
              <w:rPr>
                <w:rFonts w:cstheme="minorHAnsi"/>
                <w:bCs/>
                <w:sz w:val="16"/>
                <w:szCs w:val="16"/>
              </w:rPr>
              <w:t>HB 5577</w:t>
            </w:r>
            <w:r w:rsidR="00BE398C">
              <w:rPr>
                <w:rFonts w:cstheme="minorHAnsi"/>
                <w:bCs/>
                <w:sz w:val="16"/>
                <w:szCs w:val="16"/>
              </w:rPr>
              <w:t>*</w:t>
            </w:r>
          </w:p>
        </w:tc>
        <w:tc>
          <w:tcPr>
            <w:tcW w:w="3060" w:type="dxa"/>
          </w:tcPr>
          <w:p w:rsidR="00116B48" w:rsidRDefault="00116B48" w:rsidP="00116B48">
            <w:pPr>
              <w:rPr>
                <w:rFonts w:cstheme="minorHAnsi"/>
                <w:sz w:val="16"/>
                <w:szCs w:val="16"/>
              </w:rPr>
            </w:pPr>
            <w:r>
              <w:rPr>
                <w:rFonts w:cstheme="minorHAnsi"/>
                <w:sz w:val="16"/>
                <w:szCs w:val="16"/>
              </w:rPr>
              <w:t xml:space="preserve">The bill was introduced on March 13, 2014. </w:t>
            </w:r>
            <w:r w:rsidRPr="00116B48">
              <w:rPr>
                <w:rFonts w:cstheme="minorHAnsi"/>
                <w:sz w:val="16"/>
                <w:szCs w:val="16"/>
              </w:rPr>
              <w:t>The bill was reported out of the Legislative Co</w:t>
            </w:r>
            <w:r>
              <w:rPr>
                <w:rFonts w:cstheme="minorHAnsi"/>
                <w:sz w:val="16"/>
                <w:szCs w:val="16"/>
              </w:rPr>
              <w:t>mmissioners’ Office on April 17</w:t>
            </w:r>
            <w:r w:rsidRPr="00116B48">
              <w:rPr>
                <w:rFonts w:cstheme="minorHAnsi"/>
                <w:sz w:val="16"/>
                <w:szCs w:val="16"/>
              </w:rPr>
              <w:t xml:space="preserve">; the House passed </w:t>
            </w:r>
            <w:r>
              <w:rPr>
                <w:rFonts w:cstheme="minorHAnsi"/>
                <w:sz w:val="16"/>
                <w:szCs w:val="16"/>
              </w:rPr>
              <w:t>the bill</w:t>
            </w:r>
            <w:r w:rsidR="00C7724F">
              <w:rPr>
                <w:rFonts w:cstheme="minorHAnsi"/>
                <w:sz w:val="16"/>
                <w:szCs w:val="16"/>
              </w:rPr>
              <w:t xml:space="preserve"> on May 6</w:t>
            </w:r>
            <w:r w:rsidRPr="00116B48">
              <w:rPr>
                <w:rFonts w:cstheme="minorHAnsi"/>
                <w:sz w:val="16"/>
                <w:szCs w:val="16"/>
              </w:rPr>
              <w:t xml:space="preserve">, 2014 </w:t>
            </w:r>
            <w:r>
              <w:rPr>
                <w:rFonts w:cstheme="minorHAnsi"/>
                <w:sz w:val="16"/>
                <w:szCs w:val="16"/>
              </w:rPr>
              <w:t>and transmitted it</w:t>
            </w:r>
            <w:r w:rsidRPr="00116B48">
              <w:rPr>
                <w:rFonts w:cstheme="minorHAnsi"/>
                <w:sz w:val="16"/>
                <w:szCs w:val="16"/>
              </w:rPr>
              <w:t xml:space="preserve"> to the Senate.</w:t>
            </w:r>
          </w:p>
        </w:tc>
        <w:tc>
          <w:tcPr>
            <w:tcW w:w="10440" w:type="dxa"/>
            <w:gridSpan w:val="12"/>
            <w:vAlign w:val="center"/>
          </w:tcPr>
          <w:p w:rsidR="00116B48" w:rsidRPr="000D7FA9" w:rsidRDefault="00116B48" w:rsidP="00116B48">
            <w:pPr>
              <w:rPr>
                <w:rFonts w:cstheme="minorHAnsi"/>
                <w:i/>
                <w:sz w:val="16"/>
                <w:szCs w:val="16"/>
              </w:rPr>
            </w:pPr>
            <w:r>
              <w:rPr>
                <w:rFonts w:cstheme="minorHAnsi"/>
                <w:i/>
                <w:sz w:val="16"/>
                <w:szCs w:val="16"/>
              </w:rPr>
              <w:t>The bill</w:t>
            </w:r>
            <w:r w:rsidRPr="00116B48">
              <w:rPr>
                <w:rFonts w:cstheme="minorHAnsi"/>
                <w:i/>
                <w:sz w:val="16"/>
                <w:szCs w:val="16"/>
              </w:rPr>
              <w:t xml:space="preserve"> would require the Connecticut Banking Commissioner to </w:t>
            </w:r>
            <w:r w:rsidRPr="00116B48">
              <w:rPr>
                <w:rFonts w:cstheme="minorHAnsi"/>
                <w:i/>
                <w:sz w:val="16"/>
                <w:szCs w:val="16"/>
                <w:u w:val="single"/>
              </w:rPr>
              <w:t>study crowdfunding legislation in other states</w:t>
            </w:r>
            <w:r w:rsidRPr="00116B48">
              <w:rPr>
                <w:rFonts w:cstheme="minorHAnsi"/>
                <w:i/>
                <w:sz w:val="16"/>
                <w:szCs w:val="16"/>
              </w:rPr>
              <w:t xml:space="preserve"> and provide recommendations for the implementation of such legislation in Connecticut on or before January 1, 2015.</w:t>
            </w:r>
          </w:p>
        </w:tc>
      </w:tr>
      <w:tr w:rsidR="00DE4ACB" w:rsidRPr="000D7FA9" w:rsidTr="00174AA1">
        <w:trPr>
          <w:cantSplit/>
          <w:trHeight w:val="701"/>
          <w:jc w:val="center"/>
        </w:trPr>
        <w:tc>
          <w:tcPr>
            <w:tcW w:w="1075" w:type="dxa"/>
            <w:vAlign w:val="center"/>
          </w:tcPr>
          <w:p w:rsidR="00DE4ACB" w:rsidRPr="009E79E5" w:rsidRDefault="00DE4ACB" w:rsidP="00565A34">
            <w:pPr>
              <w:jc w:val="center"/>
              <w:rPr>
                <w:rFonts w:cstheme="minorHAnsi"/>
                <w:sz w:val="16"/>
                <w:szCs w:val="16"/>
              </w:rPr>
            </w:pPr>
            <w:r>
              <w:rPr>
                <w:rFonts w:cstheme="minorHAnsi"/>
                <w:sz w:val="16"/>
                <w:szCs w:val="16"/>
              </w:rPr>
              <w:t>District of Columbia</w:t>
            </w:r>
          </w:p>
        </w:tc>
        <w:tc>
          <w:tcPr>
            <w:tcW w:w="1193" w:type="dxa"/>
            <w:vAlign w:val="center"/>
          </w:tcPr>
          <w:p w:rsidR="00DE4ACB" w:rsidRPr="009E79E5" w:rsidRDefault="00DE4ACB" w:rsidP="00565A34">
            <w:pPr>
              <w:jc w:val="center"/>
              <w:rPr>
                <w:rFonts w:cstheme="minorHAnsi"/>
                <w:bCs/>
                <w:sz w:val="16"/>
                <w:szCs w:val="16"/>
              </w:rPr>
            </w:pPr>
            <w:r>
              <w:rPr>
                <w:rFonts w:cstheme="minorHAnsi"/>
                <w:bCs/>
                <w:sz w:val="16"/>
                <w:szCs w:val="16"/>
              </w:rPr>
              <w:t>Proposed Rules</w:t>
            </w:r>
            <w:r w:rsidR="00220BF2">
              <w:rPr>
                <w:rFonts w:cstheme="minorHAnsi"/>
                <w:bCs/>
                <w:sz w:val="16"/>
                <w:szCs w:val="16"/>
              </w:rPr>
              <w:t>*</w:t>
            </w:r>
          </w:p>
        </w:tc>
        <w:tc>
          <w:tcPr>
            <w:tcW w:w="3060" w:type="dxa"/>
          </w:tcPr>
          <w:p w:rsidR="00A258AD" w:rsidRDefault="00A258AD" w:rsidP="00DE4ACB">
            <w:pPr>
              <w:rPr>
                <w:rFonts w:cstheme="minorHAnsi"/>
                <w:sz w:val="16"/>
                <w:szCs w:val="16"/>
              </w:rPr>
            </w:pPr>
          </w:p>
          <w:p w:rsidR="00A258AD" w:rsidRDefault="00A258AD" w:rsidP="00DE4ACB">
            <w:pPr>
              <w:rPr>
                <w:rFonts w:cstheme="minorHAnsi"/>
                <w:sz w:val="16"/>
                <w:szCs w:val="16"/>
              </w:rPr>
            </w:pPr>
          </w:p>
          <w:p w:rsidR="00A258AD" w:rsidRDefault="00A258AD" w:rsidP="00DE4ACB">
            <w:pPr>
              <w:rPr>
                <w:rFonts w:cstheme="minorHAnsi"/>
                <w:sz w:val="16"/>
                <w:szCs w:val="16"/>
              </w:rPr>
            </w:pPr>
          </w:p>
          <w:p w:rsidR="00A258AD" w:rsidRDefault="00A258AD" w:rsidP="00DE4ACB">
            <w:pPr>
              <w:rPr>
                <w:rFonts w:cstheme="minorHAnsi"/>
                <w:sz w:val="16"/>
                <w:szCs w:val="16"/>
              </w:rPr>
            </w:pPr>
          </w:p>
          <w:p w:rsidR="00DE4ACB" w:rsidRPr="009E79E5" w:rsidRDefault="00DE4ACB" w:rsidP="00AB1BEE">
            <w:pPr>
              <w:rPr>
                <w:rFonts w:cstheme="minorHAnsi"/>
                <w:sz w:val="16"/>
                <w:szCs w:val="16"/>
              </w:rPr>
            </w:pPr>
            <w:r>
              <w:rPr>
                <w:rFonts w:cstheme="minorHAnsi"/>
                <w:sz w:val="16"/>
                <w:szCs w:val="16"/>
              </w:rPr>
              <w:t xml:space="preserve">The proposed rules were introduced on August 8.  The comment period </w:t>
            </w:r>
            <w:r w:rsidR="00AB1BEE">
              <w:rPr>
                <w:rFonts w:cstheme="minorHAnsi"/>
                <w:sz w:val="16"/>
                <w:szCs w:val="16"/>
              </w:rPr>
              <w:t>ended on September 6.</w:t>
            </w:r>
          </w:p>
        </w:tc>
        <w:tc>
          <w:tcPr>
            <w:tcW w:w="1170" w:type="dxa"/>
            <w:gridSpan w:val="2"/>
            <w:vAlign w:val="center"/>
          </w:tcPr>
          <w:p w:rsidR="00DE4ACB" w:rsidRPr="009E79E5" w:rsidRDefault="00F64B99" w:rsidP="00565A34">
            <w:pPr>
              <w:jc w:val="center"/>
              <w:rPr>
                <w:rFonts w:cstheme="minorHAnsi"/>
                <w:sz w:val="16"/>
                <w:szCs w:val="16"/>
              </w:rPr>
            </w:pPr>
            <w:r>
              <w:rPr>
                <w:rFonts w:cstheme="minorHAnsi"/>
                <w:sz w:val="16"/>
                <w:szCs w:val="16"/>
              </w:rPr>
              <w:t>Yes</w:t>
            </w:r>
          </w:p>
        </w:tc>
        <w:tc>
          <w:tcPr>
            <w:tcW w:w="1057" w:type="dxa"/>
            <w:vAlign w:val="center"/>
          </w:tcPr>
          <w:p w:rsidR="00DE4ACB" w:rsidRPr="009E79E5" w:rsidRDefault="00684058" w:rsidP="00C624B2">
            <w:pPr>
              <w:jc w:val="center"/>
              <w:rPr>
                <w:rFonts w:cstheme="minorHAnsi"/>
                <w:sz w:val="16"/>
                <w:szCs w:val="16"/>
              </w:rPr>
            </w:pPr>
            <w:r>
              <w:rPr>
                <w:rFonts w:cstheme="minorHAnsi"/>
                <w:sz w:val="16"/>
                <w:szCs w:val="16"/>
              </w:rPr>
              <w:t>$500,000</w:t>
            </w:r>
            <w:r w:rsidR="00A258AD">
              <w:rPr>
                <w:rFonts w:cstheme="minorHAnsi"/>
                <w:sz w:val="16"/>
                <w:szCs w:val="16"/>
              </w:rPr>
              <w:t xml:space="preserve"> (</w:t>
            </w:r>
            <w:r w:rsidR="00C624B2">
              <w:rPr>
                <w:rFonts w:cstheme="minorHAnsi"/>
                <w:sz w:val="16"/>
                <w:szCs w:val="16"/>
              </w:rPr>
              <w:t>if financial statements for 3 years); $1 million (w/financial</w:t>
            </w:r>
            <w:r w:rsidR="00A258AD">
              <w:rPr>
                <w:rFonts w:cstheme="minorHAnsi"/>
                <w:sz w:val="16"/>
                <w:szCs w:val="16"/>
              </w:rPr>
              <w:t xml:space="preserve"> review); $2 million (w/ audit)</w:t>
            </w:r>
          </w:p>
        </w:tc>
        <w:tc>
          <w:tcPr>
            <w:tcW w:w="1013" w:type="dxa"/>
            <w:gridSpan w:val="2"/>
            <w:vAlign w:val="center"/>
          </w:tcPr>
          <w:p w:rsidR="00DE4ACB" w:rsidRPr="009E79E5" w:rsidRDefault="00C624B2" w:rsidP="00C624B2">
            <w:pPr>
              <w:jc w:val="center"/>
              <w:rPr>
                <w:rFonts w:cstheme="minorHAnsi"/>
                <w:sz w:val="16"/>
                <w:szCs w:val="16"/>
              </w:rPr>
            </w:pPr>
            <w:r>
              <w:rPr>
                <w:rFonts w:cstheme="minorHAnsi"/>
                <w:sz w:val="16"/>
                <w:szCs w:val="16"/>
              </w:rPr>
              <w:t xml:space="preserve">Unless accredited, </w:t>
            </w:r>
            <w:r w:rsidR="00A258AD">
              <w:rPr>
                <w:rFonts w:cstheme="minorHAnsi"/>
                <w:sz w:val="16"/>
                <w:szCs w:val="16"/>
              </w:rPr>
              <w:t xml:space="preserve">$10,000 (if </w:t>
            </w:r>
            <w:r>
              <w:rPr>
                <w:rFonts w:cstheme="minorHAnsi"/>
                <w:sz w:val="16"/>
                <w:szCs w:val="16"/>
              </w:rPr>
              <w:t xml:space="preserve">income under $100,000); </w:t>
            </w:r>
            <w:r w:rsidR="00A258AD">
              <w:rPr>
                <w:rFonts w:cstheme="minorHAnsi"/>
                <w:sz w:val="16"/>
                <w:szCs w:val="16"/>
              </w:rPr>
              <w:t xml:space="preserve">$25,000 (if </w:t>
            </w:r>
            <w:r>
              <w:rPr>
                <w:rFonts w:cstheme="minorHAnsi"/>
                <w:sz w:val="16"/>
                <w:szCs w:val="16"/>
              </w:rPr>
              <w:t>income under $200,000</w:t>
            </w:r>
            <w:r w:rsidR="00A258AD">
              <w:rPr>
                <w:rFonts w:cstheme="minorHAnsi"/>
                <w:sz w:val="16"/>
                <w:szCs w:val="16"/>
              </w:rPr>
              <w:t>)</w:t>
            </w:r>
          </w:p>
        </w:tc>
        <w:tc>
          <w:tcPr>
            <w:tcW w:w="1417" w:type="dxa"/>
            <w:vAlign w:val="center"/>
          </w:tcPr>
          <w:p w:rsidR="00DE4ACB" w:rsidRPr="009E79E5" w:rsidRDefault="00DE4ACB" w:rsidP="00565A34">
            <w:pPr>
              <w:jc w:val="center"/>
              <w:rPr>
                <w:rFonts w:cstheme="minorHAnsi"/>
                <w:sz w:val="16"/>
                <w:szCs w:val="16"/>
              </w:rPr>
            </w:pPr>
          </w:p>
        </w:tc>
        <w:tc>
          <w:tcPr>
            <w:tcW w:w="1463" w:type="dxa"/>
            <w:gridSpan w:val="2"/>
            <w:vAlign w:val="center"/>
          </w:tcPr>
          <w:p w:rsidR="00DE4ACB" w:rsidRPr="009E79E5" w:rsidRDefault="009237F5" w:rsidP="00565A34">
            <w:pPr>
              <w:jc w:val="center"/>
              <w:rPr>
                <w:rFonts w:cstheme="minorHAnsi"/>
                <w:sz w:val="16"/>
                <w:szCs w:val="16"/>
              </w:rPr>
            </w:pPr>
            <w:r>
              <w:rPr>
                <w:rFonts w:cstheme="minorHAnsi"/>
                <w:sz w:val="16"/>
                <w:szCs w:val="16"/>
              </w:rPr>
              <w:t>Notice filing</w:t>
            </w:r>
            <w:r w:rsidR="005F5B35">
              <w:rPr>
                <w:rFonts w:cstheme="minorHAnsi"/>
                <w:sz w:val="16"/>
                <w:szCs w:val="16"/>
              </w:rPr>
              <w:t xml:space="preserve"> (incl. disclosure document)</w:t>
            </w:r>
            <w:bookmarkStart w:id="0" w:name="_GoBack"/>
            <w:bookmarkEnd w:id="0"/>
          </w:p>
        </w:tc>
        <w:tc>
          <w:tcPr>
            <w:tcW w:w="697" w:type="dxa"/>
            <w:vAlign w:val="center"/>
          </w:tcPr>
          <w:p w:rsidR="00DE4ACB" w:rsidRPr="009E79E5" w:rsidRDefault="00F64B99" w:rsidP="00565A34">
            <w:pPr>
              <w:jc w:val="center"/>
              <w:rPr>
                <w:rFonts w:cstheme="minorHAnsi"/>
                <w:sz w:val="16"/>
                <w:szCs w:val="16"/>
              </w:rPr>
            </w:pPr>
            <w:r>
              <w:rPr>
                <w:rFonts w:cstheme="minorHAnsi"/>
                <w:sz w:val="16"/>
                <w:szCs w:val="16"/>
              </w:rPr>
              <w:t>Yes</w:t>
            </w:r>
          </w:p>
        </w:tc>
        <w:tc>
          <w:tcPr>
            <w:tcW w:w="1170" w:type="dxa"/>
          </w:tcPr>
          <w:p w:rsidR="00C818C6" w:rsidRDefault="00C818C6" w:rsidP="00565A34">
            <w:pPr>
              <w:jc w:val="center"/>
              <w:rPr>
                <w:rFonts w:cstheme="minorHAnsi"/>
                <w:sz w:val="16"/>
                <w:szCs w:val="16"/>
              </w:rPr>
            </w:pPr>
          </w:p>
          <w:p w:rsidR="00C818C6" w:rsidRDefault="00C818C6" w:rsidP="00565A34">
            <w:pPr>
              <w:jc w:val="center"/>
              <w:rPr>
                <w:rFonts w:cstheme="minorHAnsi"/>
                <w:sz w:val="16"/>
                <w:szCs w:val="16"/>
              </w:rPr>
            </w:pPr>
          </w:p>
          <w:p w:rsidR="00C818C6" w:rsidRDefault="00C818C6" w:rsidP="00565A34">
            <w:pPr>
              <w:jc w:val="center"/>
              <w:rPr>
                <w:rFonts w:cstheme="minorHAnsi"/>
                <w:sz w:val="16"/>
                <w:szCs w:val="16"/>
              </w:rPr>
            </w:pPr>
          </w:p>
          <w:p w:rsidR="00DE4ACB" w:rsidRPr="009E79E5" w:rsidRDefault="00C818C6" w:rsidP="00565A34">
            <w:pPr>
              <w:jc w:val="center"/>
              <w:rPr>
                <w:rFonts w:cstheme="minorHAnsi"/>
                <w:sz w:val="16"/>
                <w:szCs w:val="16"/>
              </w:rPr>
            </w:pPr>
            <w:r>
              <w:rPr>
                <w:rFonts w:cstheme="minorHAnsi"/>
                <w:sz w:val="16"/>
                <w:szCs w:val="16"/>
              </w:rPr>
              <w:t>Yes (DC</w:t>
            </w:r>
            <w:r w:rsidRPr="00B06E9C">
              <w:rPr>
                <w:rFonts w:cstheme="minorHAnsi"/>
                <w:sz w:val="16"/>
                <w:szCs w:val="16"/>
              </w:rPr>
              <w:t>-qualified platforms only and light registration)</w:t>
            </w:r>
          </w:p>
        </w:tc>
        <w:tc>
          <w:tcPr>
            <w:tcW w:w="1170" w:type="dxa"/>
          </w:tcPr>
          <w:p w:rsidR="00DE4ACB" w:rsidRDefault="00DE4ACB" w:rsidP="00565A34">
            <w:pPr>
              <w:jc w:val="center"/>
              <w:rPr>
                <w:rFonts w:cstheme="minorHAnsi"/>
                <w:sz w:val="16"/>
                <w:szCs w:val="16"/>
              </w:rPr>
            </w:pPr>
          </w:p>
          <w:p w:rsidR="00C818C6" w:rsidRDefault="00C818C6" w:rsidP="00565A34">
            <w:pPr>
              <w:jc w:val="center"/>
              <w:rPr>
                <w:rFonts w:cstheme="minorHAnsi"/>
                <w:sz w:val="16"/>
                <w:szCs w:val="16"/>
              </w:rPr>
            </w:pPr>
          </w:p>
          <w:p w:rsidR="00C818C6" w:rsidRDefault="00C818C6" w:rsidP="00565A34">
            <w:pPr>
              <w:jc w:val="center"/>
              <w:rPr>
                <w:rFonts w:cstheme="minorHAnsi"/>
                <w:sz w:val="16"/>
                <w:szCs w:val="16"/>
              </w:rPr>
            </w:pPr>
          </w:p>
          <w:p w:rsidR="00C818C6" w:rsidRDefault="00C818C6" w:rsidP="00565A34">
            <w:pPr>
              <w:jc w:val="center"/>
              <w:rPr>
                <w:rFonts w:cstheme="minorHAnsi"/>
                <w:sz w:val="16"/>
                <w:szCs w:val="16"/>
              </w:rPr>
            </w:pPr>
          </w:p>
          <w:p w:rsidR="00C818C6" w:rsidRDefault="00C818C6" w:rsidP="00565A34">
            <w:pPr>
              <w:jc w:val="center"/>
              <w:rPr>
                <w:rFonts w:cstheme="minorHAnsi"/>
                <w:sz w:val="16"/>
                <w:szCs w:val="16"/>
              </w:rPr>
            </w:pPr>
          </w:p>
          <w:p w:rsidR="00C818C6" w:rsidRPr="009E79E5" w:rsidRDefault="00C818C6" w:rsidP="00565A34">
            <w:pPr>
              <w:jc w:val="center"/>
              <w:rPr>
                <w:rFonts w:cstheme="minorHAnsi"/>
                <w:sz w:val="16"/>
                <w:szCs w:val="16"/>
              </w:rPr>
            </w:pPr>
            <w:r>
              <w:rPr>
                <w:rFonts w:cstheme="minorHAnsi"/>
                <w:sz w:val="16"/>
                <w:szCs w:val="16"/>
              </w:rPr>
              <w:t>Yes—annual report</w:t>
            </w:r>
          </w:p>
        </w:tc>
        <w:tc>
          <w:tcPr>
            <w:tcW w:w="1283" w:type="dxa"/>
            <w:vAlign w:val="center"/>
          </w:tcPr>
          <w:p w:rsidR="00DE4ACB" w:rsidRPr="009E79E5" w:rsidRDefault="00DE4ACB" w:rsidP="00565A34">
            <w:pPr>
              <w:jc w:val="center"/>
              <w:rPr>
                <w:rFonts w:cstheme="minorHAnsi"/>
                <w:sz w:val="16"/>
                <w:szCs w:val="16"/>
              </w:rPr>
            </w:pPr>
          </w:p>
        </w:tc>
      </w:tr>
      <w:tr w:rsidR="00565A34" w:rsidRPr="000D7FA9" w:rsidTr="00174AA1">
        <w:trPr>
          <w:cantSplit/>
          <w:trHeight w:val="701"/>
          <w:jc w:val="center"/>
        </w:trPr>
        <w:tc>
          <w:tcPr>
            <w:tcW w:w="1075" w:type="dxa"/>
            <w:vAlign w:val="center"/>
          </w:tcPr>
          <w:p w:rsidR="00565A34" w:rsidRPr="009E79E5" w:rsidRDefault="00565A34" w:rsidP="00565A34">
            <w:pPr>
              <w:jc w:val="center"/>
              <w:rPr>
                <w:rFonts w:cstheme="minorHAnsi"/>
                <w:sz w:val="16"/>
                <w:szCs w:val="16"/>
              </w:rPr>
            </w:pPr>
            <w:r w:rsidRPr="009E79E5">
              <w:rPr>
                <w:rFonts w:cstheme="minorHAnsi"/>
                <w:sz w:val="16"/>
                <w:szCs w:val="16"/>
              </w:rPr>
              <w:t>Florida</w:t>
            </w:r>
          </w:p>
        </w:tc>
        <w:tc>
          <w:tcPr>
            <w:tcW w:w="1193" w:type="dxa"/>
            <w:vAlign w:val="center"/>
          </w:tcPr>
          <w:p w:rsidR="00565A34" w:rsidRPr="009E79E5" w:rsidRDefault="00565A34" w:rsidP="00565A34">
            <w:pPr>
              <w:jc w:val="center"/>
              <w:rPr>
                <w:rFonts w:cstheme="minorHAnsi"/>
                <w:bCs/>
                <w:sz w:val="16"/>
                <w:szCs w:val="16"/>
              </w:rPr>
            </w:pPr>
          </w:p>
          <w:p w:rsidR="00565A34" w:rsidRPr="009E79E5" w:rsidRDefault="00565A34" w:rsidP="00565A34">
            <w:pPr>
              <w:jc w:val="center"/>
              <w:rPr>
                <w:rFonts w:cstheme="minorHAnsi"/>
                <w:bCs/>
                <w:sz w:val="16"/>
                <w:szCs w:val="16"/>
              </w:rPr>
            </w:pPr>
            <w:r w:rsidRPr="009E79E5">
              <w:rPr>
                <w:rFonts w:cstheme="minorHAnsi"/>
                <w:bCs/>
                <w:sz w:val="16"/>
                <w:szCs w:val="16"/>
              </w:rPr>
              <w:t>HB 1299/SB 1596</w:t>
            </w:r>
          </w:p>
        </w:tc>
        <w:tc>
          <w:tcPr>
            <w:tcW w:w="3060" w:type="dxa"/>
          </w:tcPr>
          <w:p w:rsidR="00565A34" w:rsidRPr="009E79E5" w:rsidRDefault="00565A34" w:rsidP="0054675B">
            <w:pPr>
              <w:rPr>
                <w:rFonts w:cstheme="minorHAnsi"/>
                <w:sz w:val="16"/>
                <w:szCs w:val="16"/>
              </w:rPr>
            </w:pPr>
            <w:r w:rsidRPr="009E79E5">
              <w:rPr>
                <w:rFonts w:cstheme="minorHAnsi"/>
                <w:sz w:val="16"/>
                <w:szCs w:val="16"/>
              </w:rPr>
              <w:t xml:space="preserve">HB 1299 was introduced in </w:t>
            </w:r>
            <w:r>
              <w:rPr>
                <w:rFonts w:cstheme="minorHAnsi"/>
                <w:sz w:val="16"/>
                <w:szCs w:val="16"/>
              </w:rPr>
              <w:t xml:space="preserve">the </w:t>
            </w:r>
            <w:r w:rsidRPr="009E79E5">
              <w:rPr>
                <w:rFonts w:cstheme="minorHAnsi"/>
                <w:sz w:val="16"/>
                <w:szCs w:val="16"/>
              </w:rPr>
              <w:t>House on March 4, 2014</w:t>
            </w:r>
            <w:r>
              <w:rPr>
                <w:rFonts w:cstheme="minorHAnsi"/>
                <w:sz w:val="16"/>
                <w:szCs w:val="16"/>
              </w:rPr>
              <w:t xml:space="preserve"> and was referred to the Insurance and Regulatory Banking Subcommittee on March 11</w:t>
            </w:r>
            <w:r w:rsidRPr="009E79E5">
              <w:rPr>
                <w:rFonts w:cstheme="minorHAnsi"/>
                <w:sz w:val="16"/>
                <w:szCs w:val="16"/>
              </w:rPr>
              <w:t xml:space="preserve">.  SB 1596 was </w:t>
            </w:r>
            <w:r>
              <w:rPr>
                <w:rFonts w:cstheme="minorHAnsi"/>
                <w:sz w:val="16"/>
                <w:szCs w:val="16"/>
              </w:rPr>
              <w:t xml:space="preserve">introduced in the Senate on March 10, 2014.  </w:t>
            </w:r>
            <w:r w:rsidR="0054675B">
              <w:rPr>
                <w:rFonts w:cstheme="minorHAnsi"/>
                <w:sz w:val="16"/>
                <w:szCs w:val="16"/>
              </w:rPr>
              <w:t xml:space="preserve">HB 1299 and </w:t>
            </w:r>
            <w:r w:rsidRPr="001307E8">
              <w:rPr>
                <w:rFonts w:cstheme="minorHAnsi"/>
                <w:sz w:val="16"/>
                <w:szCs w:val="16"/>
                <w:u w:val="single"/>
              </w:rPr>
              <w:t>SB 1596 officially died on May 2, 2014</w:t>
            </w:r>
            <w:r>
              <w:rPr>
                <w:rFonts w:cstheme="minorHAnsi"/>
                <w:sz w:val="16"/>
                <w:szCs w:val="16"/>
              </w:rPr>
              <w:t xml:space="preserve">.  </w:t>
            </w:r>
          </w:p>
        </w:tc>
        <w:tc>
          <w:tcPr>
            <w:tcW w:w="1170" w:type="dxa"/>
            <w:gridSpan w:val="2"/>
            <w:vAlign w:val="center"/>
          </w:tcPr>
          <w:p w:rsidR="00565A34" w:rsidRPr="009E79E5" w:rsidRDefault="00565A34" w:rsidP="00565A34">
            <w:pPr>
              <w:jc w:val="center"/>
              <w:rPr>
                <w:rFonts w:cstheme="minorHAnsi"/>
                <w:sz w:val="16"/>
                <w:szCs w:val="16"/>
              </w:rPr>
            </w:pPr>
            <w:r w:rsidRPr="009E79E5">
              <w:rPr>
                <w:rFonts w:cstheme="minorHAnsi"/>
                <w:sz w:val="16"/>
                <w:szCs w:val="16"/>
              </w:rPr>
              <w:t>Yes</w:t>
            </w:r>
          </w:p>
        </w:tc>
        <w:tc>
          <w:tcPr>
            <w:tcW w:w="1057" w:type="dxa"/>
            <w:vAlign w:val="center"/>
          </w:tcPr>
          <w:p w:rsidR="00565A34" w:rsidRPr="009E79E5" w:rsidRDefault="00565A34" w:rsidP="00565A34">
            <w:pPr>
              <w:jc w:val="center"/>
              <w:rPr>
                <w:rFonts w:cstheme="minorHAnsi"/>
                <w:sz w:val="16"/>
                <w:szCs w:val="16"/>
              </w:rPr>
            </w:pPr>
            <w:r w:rsidRPr="009E79E5">
              <w:rPr>
                <w:rFonts w:cstheme="minorHAnsi"/>
                <w:sz w:val="16"/>
                <w:szCs w:val="16"/>
              </w:rPr>
              <w:t>$1 million</w:t>
            </w:r>
          </w:p>
        </w:tc>
        <w:tc>
          <w:tcPr>
            <w:tcW w:w="1013" w:type="dxa"/>
            <w:gridSpan w:val="2"/>
            <w:vAlign w:val="center"/>
          </w:tcPr>
          <w:p w:rsidR="00565A34" w:rsidRPr="009E79E5" w:rsidRDefault="00565A34" w:rsidP="00565A34">
            <w:pPr>
              <w:jc w:val="center"/>
              <w:rPr>
                <w:rFonts w:cstheme="minorHAnsi"/>
                <w:sz w:val="16"/>
                <w:szCs w:val="16"/>
              </w:rPr>
            </w:pPr>
            <w:r w:rsidRPr="009E79E5">
              <w:rPr>
                <w:rFonts w:cstheme="minorHAnsi"/>
                <w:sz w:val="16"/>
                <w:szCs w:val="16"/>
              </w:rPr>
              <w:t>Same as JOBS Act</w:t>
            </w:r>
          </w:p>
        </w:tc>
        <w:tc>
          <w:tcPr>
            <w:tcW w:w="1417" w:type="dxa"/>
            <w:vAlign w:val="center"/>
          </w:tcPr>
          <w:p w:rsidR="00565A34" w:rsidRPr="009E79E5" w:rsidRDefault="00565A34" w:rsidP="00565A34">
            <w:pPr>
              <w:jc w:val="center"/>
              <w:rPr>
                <w:rFonts w:cstheme="minorHAnsi"/>
                <w:sz w:val="16"/>
                <w:szCs w:val="16"/>
              </w:rPr>
            </w:pPr>
            <w:r w:rsidRPr="009E79E5">
              <w:rPr>
                <w:rFonts w:cstheme="minorHAnsi"/>
                <w:sz w:val="16"/>
                <w:szCs w:val="16"/>
              </w:rPr>
              <w:t>No (unless BD or SEC funding portal)</w:t>
            </w:r>
          </w:p>
        </w:tc>
        <w:tc>
          <w:tcPr>
            <w:tcW w:w="1463" w:type="dxa"/>
            <w:gridSpan w:val="2"/>
            <w:vAlign w:val="center"/>
          </w:tcPr>
          <w:p w:rsidR="00565A34" w:rsidRPr="009E79E5" w:rsidRDefault="00565A34" w:rsidP="00565A34">
            <w:pPr>
              <w:jc w:val="center"/>
              <w:rPr>
                <w:rFonts w:cstheme="minorHAnsi"/>
                <w:sz w:val="16"/>
                <w:szCs w:val="16"/>
              </w:rPr>
            </w:pPr>
            <w:r w:rsidRPr="009E79E5">
              <w:rPr>
                <w:rFonts w:cstheme="minorHAnsi"/>
                <w:sz w:val="16"/>
                <w:szCs w:val="16"/>
              </w:rPr>
              <w:t>Notice filing</w:t>
            </w:r>
          </w:p>
        </w:tc>
        <w:tc>
          <w:tcPr>
            <w:tcW w:w="697" w:type="dxa"/>
            <w:vAlign w:val="center"/>
          </w:tcPr>
          <w:p w:rsidR="00565A34" w:rsidRPr="009E79E5" w:rsidRDefault="00565A34" w:rsidP="00565A34">
            <w:pPr>
              <w:jc w:val="center"/>
              <w:rPr>
                <w:rFonts w:cstheme="minorHAnsi"/>
                <w:sz w:val="16"/>
                <w:szCs w:val="16"/>
              </w:rPr>
            </w:pPr>
          </w:p>
        </w:tc>
        <w:tc>
          <w:tcPr>
            <w:tcW w:w="1170" w:type="dxa"/>
          </w:tcPr>
          <w:p w:rsidR="00565A34" w:rsidRPr="009E79E5" w:rsidRDefault="00565A34" w:rsidP="00565A34">
            <w:pPr>
              <w:jc w:val="center"/>
              <w:rPr>
                <w:rFonts w:cstheme="minorHAnsi"/>
                <w:sz w:val="16"/>
                <w:szCs w:val="16"/>
              </w:rPr>
            </w:pPr>
          </w:p>
        </w:tc>
        <w:tc>
          <w:tcPr>
            <w:tcW w:w="1170" w:type="dxa"/>
          </w:tcPr>
          <w:p w:rsidR="00565A34" w:rsidRPr="009E79E5" w:rsidRDefault="00565A34" w:rsidP="00565A34">
            <w:pPr>
              <w:jc w:val="center"/>
              <w:rPr>
                <w:rFonts w:cstheme="minorHAnsi"/>
                <w:sz w:val="16"/>
                <w:szCs w:val="16"/>
              </w:rPr>
            </w:pPr>
          </w:p>
        </w:tc>
        <w:tc>
          <w:tcPr>
            <w:tcW w:w="1283" w:type="dxa"/>
            <w:vAlign w:val="center"/>
          </w:tcPr>
          <w:p w:rsidR="00565A34" w:rsidRPr="009E79E5" w:rsidRDefault="00565A34" w:rsidP="00565A34">
            <w:pPr>
              <w:jc w:val="center"/>
              <w:rPr>
                <w:rFonts w:cstheme="minorHAnsi"/>
                <w:sz w:val="16"/>
                <w:szCs w:val="16"/>
              </w:rPr>
            </w:pPr>
            <w:r w:rsidRPr="009E79E5">
              <w:rPr>
                <w:rFonts w:cstheme="minorHAnsi"/>
                <w:sz w:val="16"/>
                <w:szCs w:val="16"/>
              </w:rPr>
              <w:t>Yes—25 sale exemption</w:t>
            </w:r>
          </w:p>
        </w:tc>
      </w:tr>
      <w:tr w:rsidR="00565A34" w:rsidRPr="000D7FA9" w:rsidTr="00174AA1">
        <w:trPr>
          <w:cantSplit/>
          <w:trHeight w:val="701"/>
          <w:jc w:val="center"/>
        </w:trPr>
        <w:tc>
          <w:tcPr>
            <w:tcW w:w="1075" w:type="dxa"/>
            <w:vAlign w:val="center"/>
          </w:tcPr>
          <w:p w:rsidR="00565A34" w:rsidRPr="000D7FA9" w:rsidRDefault="00565A34" w:rsidP="00565A34">
            <w:pPr>
              <w:jc w:val="center"/>
              <w:rPr>
                <w:rFonts w:cstheme="minorHAnsi"/>
                <w:sz w:val="16"/>
                <w:szCs w:val="16"/>
              </w:rPr>
            </w:pPr>
            <w:r w:rsidRPr="000D7FA9">
              <w:rPr>
                <w:rFonts w:cstheme="minorHAnsi"/>
                <w:sz w:val="16"/>
                <w:szCs w:val="16"/>
              </w:rPr>
              <w:t>Georgia</w:t>
            </w:r>
          </w:p>
        </w:tc>
        <w:tc>
          <w:tcPr>
            <w:tcW w:w="1193" w:type="dxa"/>
          </w:tcPr>
          <w:p w:rsidR="00565A34" w:rsidRPr="000D7FA9" w:rsidRDefault="00565A34" w:rsidP="00565A34">
            <w:pPr>
              <w:jc w:val="center"/>
              <w:rPr>
                <w:rFonts w:cstheme="minorHAnsi"/>
                <w:sz w:val="16"/>
                <w:szCs w:val="16"/>
              </w:rPr>
            </w:pPr>
            <w:r w:rsidRPr="000D7FA9">
              <w:rPr>
                <w:rFonts w:cstheme="minorHAnsi"/>
                <w:bCs/>
                <w:sz w:val="16"/>
                <w:szCs w:val="16"/>
              </w:rPr>
              <w:t>Rule 590-4-2-.08,“Invest Georgia Exemption”</w:t>
            </w:r>
          </w:p>
        </w:tc>
        <w:tc>
          <w:tcPr>
            <w:tcW w:w="3060" w:type="dxa"/>
          </w:tcPr>
          <w:p w:rsidR="00565A34" w:rsidRPr="00A96B00" w:rsidRDefault="00565A34" w:rsidP="00565A34">
            <w:pPr>
              <w:rPr>
                <w:rFonts w:cstheme="minorHAnsi"/>
                <w:b/>
                <w:sz w:val="16"/>
                <w:szCs w:val="16"/>
              </w:rPr>
            </w:pPr>
            <w:r w:rsidRPr="00A96B00">
              <w:rPr>
                <w:rFonts w:cstheme="minorHAnsi"/>
                <w:b/>
                <w:sz w:val="16"/>
                <w:szCs w:val="16"/>
              </w:rPr>
              <w:t>The rule was promulgated by the Georgia State Securities Division on December 8, 2011.</w:t>
            </w:r>
          </w:p>
          <w:p w:rsidR="00565A34" w:rsidRPr="000D7FA9" w:rsidRDefault="00565A34" w:rsidP="00565A34">
            <w:pPr>
              <w:rPr>
                <w:rFonts w:cstheme="minorHAnsi"/>
                <w:sz w:val="16"/>
                <w:szCs w:val="16"/>
              </w:rPr>
            </w:pPr>
          </w:p>
        </w:tc>
        <w:tc>
          <w:tcPr>
            <w:tcW w:w="1170" w:type="dxa"/>
            <w:gridSpan w:val="2"/>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Yes</w:t>
            </w:r>
          </w:p>
        </w:tc>
        <w:tc>
          <w:tcPr>
            <w:tcW w:w="1057" w:type="dxa"/>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$1 million</w:t>
            </w:r>
          </w:p>
        </w:tc>
        <w:tc>
          <w:tcPr>
            <w:tcW w:w="1013" w:type="dxa"/>
            <w:gridSpan w:val="2"/>
          </w:tcPr>
          <w:p w:rsidR="00565A34" w:rsidRPr="000D7FA9" w:rsidRDefault="00565A34" w:rsidP="00565A34">
            <w:pPr>
              <w:jc w:val="center"/>
              <w:rPr>
                <w:rFonts w:cstheme="minorHAnsi"/>
                <w:sz w:val="16"/>
                <w:szCs w:val="16"/>
              </w:rPr>
            </w:pPr>
            <w:r w:rsidRPr="000D7FA9">
              <w:rPr>
                <w:rFonts w:cstheme="minorHAnsi"/>
                <w:sz w:val="16"/>
                <w:szCs w:val="16"/>
              </w:rPr>
              <w:t>$10,000 unless accredited</w:t>
            </w:r>
          </w:p>
        </w:tc>
        <w:tc>
          <w:tcPr>
            <w:tcW w:w="1417" w:type="dxa"/>
          </w:tcPr>
          <w:p w:rsidR="00565A34" w:rsidRPr="000D7FA9" w:rsidRDefault="00565A34" w:rsidP="00565A34">
            <w:pPr>
              <w:jc w:val="center"/>
              <w:rPr>
                <w:rFonts w:cstheme="minorHAnsi"/>
                <w:sz w:val="16"/>
                <w:szCs w:val="16"/>
              </w:rPr>
            </w:pPr>
          </w:p>
        </w:tc>
        <w:tc>
          <w:tcPr>
            <w:tcW w:w="1463" w:type="dxa"/>
            <w:gridSpan w:val="2"/>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Notice filing</w:t>
            </w:r>
          </w:p>
        </w:tc>
        <w:tc>
          <w:tcPr>
            <w:tcW w:w="697" w:type="dxa"/>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Yes</w:t>
            </w:r>
          </w:p>
        </w:tc>
        <w:tc>
          <w:tcPr>
            <w:tcW w:w="1170" w:type="dxa"/>
          </w:tcPr>
          <w:p w:rsidR="00565A34" w:rsidRPr="000D7FA9" w:rsidRDefault="00565A34" w:rsidP="00565A34">
            <w:pPr>
              <w:jc w:val="center"/>
              <w:rPr>
                <w:rFonts w:cstheme="minorHAnsi"/>
                <w:sz w:val="16"/>
                <w:szCs w:val="16"/>
              </w:rPr>
            </w:pPr>
          </w:p>
        </w:tc>
        <w:tc>
          <w:tcPr>
            <w:tcW w:w="1170" w:type="dxa"/>
          </w:tcPr>
          <w:p w:rsidR="00565A34" w:rsidRPr="000D7FA9" w:rsidRDefault="00565A34" w:rsidP="00565A34">
            <w:pPr>
              <w:jc w:val="center"/>
              <w:rPr>
                <w:rFonts w:cstheme="minorHAnsi"/>
                <w:sz w:val="16"/>
                <w:szCs w:val="16"/>
              </w:rPr>
            </w:pPr>
          </w:p>
        </w:tc>
        <w:tc>
          <w:tcPr>
            <w:tcW w:w="1283" w:type="dxa"/>
            <w:vAlign w:val="center"/>
          </w:tcPr>
          <w:p w:rsidR="00565A34" w:rsidRPr="000D7FA9" w:rsidRDefault="00565A34" w:rsidP="00565A34">
            <w:pPr>
              <w:jc w:val="center"/>
              <w:rPr>
                <w:rFonts w:cstheme="minorHAnsi"/>
                <w:sz w:val="16"/>
                <w:szCs w:val="16"/>
              </w:rPr>
            </w:pPr>
            <w:r w:rsidRPr="000D7FA9">
              <w:rPr>
                <w:rFonts w:cstheme="minorHAnsi"/>
                <w:sz w:val="16"/>
                <w:szCs w:val="16"/>
              </w:rPr>
              <w:t>Yes—25 sale exemption</w:t>
            </w:r>
          </w:p>
        </w:tc>
      </w:tr>
      <w:tr w:rsidR="00565A34" w:rsidRPr="000D7FA9" w:rsidTr="00174AA1">
        <w:trPr>
          <w:cantSplit/>
          <w:trHeight w:val="539"/>
          <w:jc w:val="center"/>
        </w:trPr>
        <w:tc>
          <w:tcPr>
            <w:tcW w:w="1075" w:type="dxa"/>
          </w:tcPr>
          <w:p w:rsidR="00565A34" w:rsidRPr="000D7FA9" w:rsidRDefault="00565A34" w:rsidP="00565A34">
            <w:pP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Idaho</w:t>
            </w:r>
          </w:p>
        </w:tc>
        <w:tc>
          <w:tcPr>
            <w:tcW w:w="1193" w:type="dxa"/>
          </w:tcPr>
          <w:p w:rsidR="00565A34"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Exemption by Order</w:t>
            </w:r>
          </w:p>
        </w:tc>
        <w:tc>
          <w:tcPr>
            <w:tcW w:w="3060" w:type="dxa"/>
          </w:tcPr>
          <w:p w:rsidR="00565A34" w:rsidRPr="00A96B00" w:rsidRDefault="00565A34" w:rsidP="00565A34">
            <w:pPr>
              <w:rPr>
                <w:rFonts w:cstheme="minorHAnsi"/>
                <w:b/>
                <w:sz w:val="16"/>
                <w:szCs w:val="16"/>
              </w:rPr>
            </w:pPr>
            <w:r w:rsidRPr="00A96B00">
              <w:rPr>
                <w:rFonts w:cstheme="minorHAnsi"/>
                <w:b/>
                <w:sz w:val="16"/>
                <w:szCs w:val="16"/>
              </w:rPr>
              <w:t>The order was issued on January 20, 2012 by Gavin Gee, Director of the Idaho Department of Finance.</w:t>
            </w:r>
          </w:p>
        </w:tc>
        <w:tc>
          <w:tcPr>
            <w:tcW w:w="1170" w:type="dxa"/>
            <w:gridSpan w:val="2"/>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Yes</w:t>
            </w:r>
          </w:p>
        </w:tc>
        <w:tc>
          <w:tcPr>
            <w:tcW w:w="1057" w:type="dxa"/>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$2 million</w:t>
            </w:r>
          </w:p>
        </w:tc>
        <w:tc>
          <w:tcPr>
            <w:tcW w:w="1013" w:type="dxa"/>
            <w:gridSpan w:val="2"/>
          </w:tcPr>
          <w:p w:rsidR="00565A34" w:rsidRPr="000D7FA9" w:rsidRDefault="00565A34" w:rsidP="00565A34">
            <w:pPr>
              <w:jc w:val="center"/>
              <w:rPr>
                <w:rFonts w:cstheme="minorHAnsi"/>
                <w:sz w:val="16"/>
                <w:szCs w:val="16"/>
              </w:rPr>
            </w:pPr>
            <w:r w:rsidRPr="000D7FA9">
              <w:rPr>
                <w:rFonts w:cstheme="minorHAnsi"/>
                <w:sz w:val="16"/>
                <w:szCs w:val="16"/>
              </w:rPr>
              <w:t>$2,500 unless accredited</w:t>
            </w:r>
          </w:p>
        </w:tc>
        <w:tc>
          <w:tcPr>
            <w:tcW w:w="1417" w:type="dxa"/>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No (unless BD)</w:t>
            </w:r>
          </w:p>
        </w:tc>
        <w:tc>
          <w:tcPr>
            <w:tcW w:w="1463" w:type="dxa"/>
            <w:gridSpan w:val="2"/>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Notice filing</w:t>
            </w:r>
          </w:p>
        </w:tc>
        <w:tc>
          <w:tcPr>
            <w:tcW w:w="697" w:type="dxa"/>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Yes</w:t>
            </w:r>
          </w:p>
        </w:tc>
        <w:tc>
          <w:tcPr>
            <w:tcW w:w="1170" w:type="dxa"/>
          </w:tcPr>
          <w:p w:rsidR="00565A34" w:rsidRPr="000D7FA9" w:rsidRDefault="00565A34" w:rsidP="00565A34">
            <w:pPr>
              <w:jc w:val="center"/>
              <w:rPr>
                <w:rFonts w:cstheme="minorHAnsi"/>
                <w:sz w:val="16"/>
                <w:szCs w:val="16"/>
              </w:rPr>
            </w:pPr>
          </w:p>
        </w:tc>
        <w:tc>
          <w:tcPr>
            <w:tcW w:w="1170" w:type="dxa"/>
          </w:tcPr>
          <w:p w:rsidR="00565A34" w:rsidRPr="000D7FA9" w:rsidRDefault="00565A34" w:rsidP="00565A34">
            <w:pPr>
              <w:jc w:val="center"/>
              <w:rPr>
                <w:rFonts w:cstheme="minorHAnsi"/>
                <w:sz w:val="16"/>
                <w:szCs w:val="16"/>
              </w:rPr>
            </w:pPr>
          </w:p>
        </w:tc>
        <w:tc>
          <w:tcPr>
            <w:tcW w:w="1283" w:type="dxa"/>
            <w:vAlign w:val="center"/>
          </w:tcPr>
          <w:p w:rsidR="00565A34" w:rsidRPr="000D7FA9" w:rsidRDefault="00565A34" w:rsidP="00565A34">
            <w:pPr>
              <w:jc w:val="center"/>
              <w:rPr>
                <w:rFonts w:cstheme="minorHAnsi"/>
                <w:sz w:val="16"/>
                <w:szCs w:val="16"/>
              </w:rPr>
            </w:pPr>
          </w:p>
        </w:tc>
      </w:tr>
      <w:tr w:rsidR="00565A34" w:rsidRPr="000D7FA9" w:rsidTr="00174AA1">
        <w:trPr>
          <w:cantSplit/>
          <w:trHeight w:val="539"/>
          <w:jc w:val="center"/>
        </w:trPr>
        <w:tc>
          <w:tcPr>
            <w:tcW w:w="1075" w:type="dxa"/>
          </w:tcPr>
          <w:p w:rsidR="00565A34" w:rsidRPr="00AA240C" w:rsidRDefault="00565A34" w:rsidP="00565A34">
            <w:pPr>
              <w:jc w:val="center"/>
              <w:rPr>
                <w:rFonts w:cstheme="minorHAnsi"/>
                <w:sz w:val="16"/>
                <w:szCs w:val="16"/>
              </w:rPr>
            </w:pPr>
          </w:p>
          <w:p w:rsidR="00565A34" w:rsidRPr="00AA240C" w:rsidRDefault="00565A34" w:rsidP="00565A34">
            <w:pPr>
              <w:jc w:val="center"/>
              <w:rPr>
                <w:rFonts w:cstheme="minorHAnsi"/>
                <w:sz w:val="16"/>
                <w:szCs w:val="16"/>
              </w:rPr>
            </w:pPr>
          </w:p>
          <w:p w:rsidR="00565A34" w:rsidRPr="00AA240C" w:rsidRDefault="00565A34" w:rsidP="00565A34">
            <w:pPr>
              <w:jc w:val="center"/>
              <w:rPr>
                <w:rFonts w:cstheme="minorHAnsi"/>
                <w:sz w:val="16"/>
                <w:szCs w:val="16"/>
              </w:rPr>
            </w:pPr>
            <w:r w:rsidRPr="00AA240C">
              <w:rPr>
                <w:rFonts w:cstheme="minorHAnsi"/>
                <w:sz w:val="16"/>
                <w:szCs w:val="16"/>
              </w:rPr>
              <w:t>Indiana</w:t>
            </w:r>
          </w:p>
        </w:tc>
        <w:tc>
          <w:tcPr>
            <w:tcW w:w="1193" w:type="dxa"/>
          </w:tcPr>
          <w:p w:rsidR="00565A34" w:rsidRPr="00AA240C" w:rsidRDefault="00565A34" w:rsidP="00565A34">
            <w:pPr>
              <w:jc w:val="center"/>
              <w:rPr>
                <w:rFonts w:cstheme="minorHAnsi"/>
                <w:sz w:val="16"/>
                <w:szCs w:val="16"/>
              </w:rPr>
            </w:pPr>
          </w:p>
          <w:p w:rsidR="00565A34" w:rsidRPr="00AA240C" w:rsidRDefault="00565A34" w:rsidP="00565A34">
            <w:pPr>
              <w:jc w:val="center"/>
              <w:rPr>
                <w:rFonts w:cstheme="minorHAnsi"/>
                <w:sz w:val="16"/>
                <w:szCs w:val="16"/>
              </w:rPr>
            </w:pPr>
          </w:p>
          <w:p w:rsidR="00565A34" w:rsidRPr="00AA240C" w:rsidRDefault="00565A34" w:rsidP="00565A34">
            <w:pPr>
              <w:jc w:val="center"/>
              <w:rPr>
                <w:rFonts w:cstheme="minorHAnsi"/>
                <w:sz w:val="16"/>
                <w:szCs w:val="16"/>
              </w:rPr>
            </w:pPr>
            <w:r w:rsidRPr="00AA240C">
              <w:rPr>
                <w:rFonts w:cstheme="minorHAnsi"/>
                <w:sz w:val="16"/>
                <w:szCs w:val="16"/>
              </w:rPr>
              <w:t>SB 375</w:t>
            </w:r>
            <w:r>
              <w:rPr>
                <w:rFonts w:cstheme="minorHAnsi"/>
                <w:sz w:val="16"/>
                <w:szCs w:val="16"/>
              </w:rPr>
              <w:t>/Public Law 106</w:t>
            </w:r>
          </w:p>
        </w:tc>
        <w:tc>
          <w:tcPr>
            <w:tcW w:w="3060" w:type="dxa"/>
          </w:tcPr>
          <w:p w:rsidR="00565A34" w:rsidRPr="00AA240C" w:rsidRDefault="00565A34" w:rsidP="00565A34">
            <w:pPr>
              <w:rPr>
                <w:rFonts w:cstheme="minorHAnsi"/>
                <w:sz w:val="16"/>
                <w:szCs w:val="16"/>
              </w:rPr>
            </w:pPr>
            <w:r w:rsidRPr="00AA240C">
              <w:rPr>
                <w:rFonts w:cstheme="minorHAnsi"/>
                <w:sz w:val="16"/>
                <w:szCs w:val="16"/>
              </w:rPr>
              <w:t>The bill was introduced on January 13, 2014</w:t>
            </w:r>
            <w:r>
              <w:rPr>
                <w:rFonts w:cstheme="minorHAnsi"/>
                <w:sz w:val="16"/>
                <w:szCs w:val="16"/>
              </w:rPr>
              <w:t xml:space="preserve">. </w:t>
            </w:r>
            <w:r w:rsidRPr="00AA240C">
              <w:rPr>
                <w:rFonts w:cstheme="minorHAnsi"/>
                <w:sz w:val="16"/>
                <w:szCs w:val="16"/>
              </w:rPr>
              <w:t xml:space="preserve">The House </w:t>
            </w:r>
            <w:r>
              <w:rPr>
                <w:rFonts w:cstheme="minorHAnsi"/>
                <w:sz w:val="16"/>
                <w:szCs w:val="16"/>
              </w:rPr>
              <w:t xml:space="preserve">and Senate passed the bill on March 12.  </w:t>
            </w:r>
            <w:r w:rsidRPr="00A96B00">
              <w:rPr>
                <w:rFonts w:cstheme="minorHAnsi"/>
                <w:b/>
                <w:sz w:val="16"/>
                <w:szCs w:val="16"/>
              </w:rPr>
              <w:t>On March 25, 2014 Governor Mike Pence signed the bill into law.</w:t>
            </w:r>
            <w:r w:rsidR="00C57627">
              <w:rPr>
                <w:rFonts w:cstheme="minorHAnsi"/>
                <w:b/>
                <w:sz w:val="16"/>
                <w:szCs w:val="16"/>
              </w:rPr>
              <w:t xml:space="preserve">  The law became effective on July 1, 2014.</w:t>
            </w:r>
          </w:p>
        </w:tc>
        <w:tc>
          <w:tcPr>
            <w:tcW w:w="1170" w:type="dxa"/>
            <w:gridSpan w:val="2"/>
            <w:vAlign w:val="center"/>
          </w:tcPr>
          <w:p w:rsidR="00565A34" w:rsidRPr="00AA240C" w:rsidRDefault="00565A34" w:rsidP="00565A34">
            <w:pPr>
              <w:jc w:val="center"/>
              <w:rPr>
                <w:rFonts w:cstheme="minorHAnsi"/>
                <w:sz w:val="16"/>
                <w:szCs w:val="16"/>
              </w:rPr>
            </w:pPr>
            <w:r w:rsidRPr="00AA240C">
              <w:rPr>
                <w:rFonts w:cstheme="minorHAnsi"/>
                <w:sz w:val="16"/>
                <w:szCs w:val="16"/>
              </w:rPr>
              <w:t>Yes</w:t>
            </w:r>
          </w:p>
        </w:tc>
        <w:tc>
          <w:tcPr>
            <w:tcW w:w="1057" w:type="dxa"/>
            <w:vAlign w:val="center"/>
          </w:tcPr>
          <w:p w:rsidR="00565A34" w:rsidRPr="00AA240C" w:rsidRDefault="00565A34" w:rsidP="00565A34">
            <w:pPr>
              <w:jc w:val="center"/>
              <w:rPr>
                <w:rFonts w:cstheme="minorHAnsi"/>
                <w:sz w:val="16"/>
                <w:szCs w:val="16"/>
              </w:rPr>
            </w:pPr>
          </w:p>
          <w:p w:rsidR="00565A34" w:rsidRPr="00AA240C" w:rsidRDefault="00565A34" w:rsidP="00565A34">
            <w:pPr>
              <w:jc w:val="center"/>
              <w:rPr>
                <w:rFonts w:cstheme="minorHAnsi"/>
                <w:sz w:val="16"/>
                <w:szCs w:val="16"/>
              </w:rPr>
            </w:pPr>
            <w:r w:rsidRPr="00AA240C">
              <w:rPr>
                <w:rFonts w:cstheme="minorHAnsi"/>
                <w:sz w:val="16"/>
                <w:szCs w:val="16"/>
              </w:rPr>
              <w:t>$1 million; $2 million if audited</w:t>
            </w:r>
          </w:p>
          <w:p w:rsidR="00565A34" w:rsidRPr="00AA240C" w:rsidRDefault="00565A34" w:rsidP="00565A34">
            <w:pPr>
              <w:jc w:val="center"/>
              <w:rPr>
                <w:rFonts w:cstheme="minorHAnsi"/>
                <w:sz w:val="16"/>
                <w:szCs w:val="16"/>
              </w:rPr>
            </w:pPr>
          </w:p>
        </w:tc>
        <w:tc>
          <w:tcPr>
            <w:tcW w:w="1013" w:type="dxa"/>
            <w:gridSpan w:val="2"/>
            <w:vAlign w:val="center"/>
          </w:tcPr>
          <w:p w:rsidR="00565A34" w:rsidRPr="00AA240C" w:rsidRDefault="00565A34" w:rsidP="00565A34">
            <w:pPr>
              <w:jc w:val="center"/>
              <w:rPr>
                <w:rFonts w:cstheme="minorHAnsi"/>
                <w:sz w:val="16"/>
                <w:szCs w:val="16"/>
              </w:rPr>
            </w:pPr>
          </w:p>
          <w:p w:rsidR="00565A34" w:rsidRPr="00AA240C" w:rsidRDefault="00565A34" w:rsidP="00565A34">
            <w:pPr>
              <w:jc w:val="center"/>
              <w:rPr>
                <w:rFonts w:cstheme="minorHAnsi"/>
                <w:sz w:val="16"/>
                <w:szCs w:val="16"/>
              </w:rPr>
            </w:pPr>
            <w:r w:rsidRPr="00AA240C">
              <w:rPr>
                <w:rFonts w:cstheme="minorHAnsi"/>
                <w:sz w:val="16"/>
                <w:szCs w:val="16"/>
              </w:rPr>
              <w:t>$5,000 unless accredited</w:t>
            </w:r>
          </w:p>
        </w:tc>
        <w:tc>
          <w:tcPr>
            <w:tcW w:w="1417" w:type="dxa"/>
            <w:vAlign w:val="center"/>
          </w:tcPr>
          <w:p w:rsidR="00565A34" w:rsidRPr="00AA240C" w:rsidRDefault="00565A34" w:rsidP="00565A34">
            <w:pPr>
              <w:jc w:val="center"/>
              <w:rPr>
                <w:rFonts w:cstheme="minorHAnsi"/>
                <w:sz w:val="16"/>
                <w:szCs w:val="16"/>
              </w:rPr>
            </w:pPr>
            <w:r w:rsidRPr="00AA240C">
              <w:rPr>
                <w:rFonts w:cstheme="minorHAnsi"/>
                <w:sz w:val="16"/>
                <w:szCs w:val="16"/>
              </w:rPr>
              <w:t>No (unless BD)</w:t>
            </w:r>
          </w:p>
        </w:tc>
        <w:tc>
          <w:tcPr>
            <w:tcW w:w="1463" w:type="dxa"/>
            <w:gridSpan w:val="2"/>
            <w:vAlign w:val="center"/>
          </w:tcPr>
          <w:p w:rsidR="00565A34" w:rsidRPr="00AA240C" w:rsidRDefault="00565A34" w:rsidP="00565A34">
            <w:pPr>
              <w:jc w:val="center"/>
              <w:rPr>
                <w:rFonts w:cstheme="minorHAnsi"/>
                <w:sz w:val="16"/>
                <w:szCs w:val="16"/>
              </w:rPr>
            </w:pPr>
          </w:p>
          <w:p w:rsidR="00565A34" w:rsidRPr="00AA240C" w:rsidRDefault="00565A34" w:rsidP="00565A34">
            <w:pPr>
              <w:jc w:val="center"/>
              <w:rPr>
                <w:rFonts w:cstheme="minorHAnsi"/>
                <w:sz w:val="16"/>
                <w:szCs w:val="16"/>
              </w:rPr>
            </w:pPr>
            <w:r w:rsidRPr="00AA240C">
              <w:rPr>
                <w:rFonts w:cstheme="minorHAnsi"/>
                <w:sz w:val="16"/>
                <w:szCs w:val="16"/>
              </w:rPr>
              <w:t>Notice filing (incl. disclosure doc)</w:t>
            </w:r>
          </w:p>
        </w:tc>
        <w:tc>
          <w:tcPr>
            <w:tcW w:w="697" w:type="dxa"/>
            <w:vAlign w:val="center"/>
          </w:tcPr>
          <w:p w:rsidR="00565A34" w:rsidRPr="00AA240C" w:rsidRDefault="00565A34" w:rsidP="00565A34">
            <w:pPr>
              <w:rPr>
                <w:rFonts w:cstheme="minorHAnsi"/>
                <w:sz w:val="16"/>
                <w:szCs w:val="16"/>
              </w:rPr>
            </w:pPr>
          </w:p>
          <w:p w:rsidR="00565A34" w:rsidRPr="00AA240C" w:rsidRDefault="00565A34" w:rsidP="00565A34">
            <w:pPr>
              <w:jc w:val="center"/>
              <w:rPr>
                <w:rFonts w:cstheme="minorHAnsi"/>
                <w:sz w:val="16"/>
                <w:szCs w:val="16"/>
              </w:rPr>
            </w:pPr>
            <w:r w:rsidRPr="00AA240C">
              <w:rPr>
                <w:rFonts w:cstheme="minorHAnsi"/>
                <w:sz w:val="16"/>
                <w:szCs w:val="16"/>
              </w:rPr>
              <w:t>Yes</w:t>
            </w:r>
          </w:p>
        </w:tc>
        <w:tc>
          <w:tcPr>
            <w:tcW w:w="1170" w:type="dxa"/>
            <w:vAlign w:val="center"/>
          </w:tcPr>
          <w:p w:rsidR="00565A34" w:rsidRPr="00AA240C" w:rsidRDefault="00565A34" w:rsidP="008C239A">
            <w:pPr>
              <w:jc w:val="center"/>
              <w:rPr>
                <w:rFonts w:cstheme="minorHAnsi"/>
                <w:sz w:val="16"/>
                <w:szCs w:val="16"/>
              </w:rPr>
            </w:pPr>
            <w:r w:rsidRPr="00AA240C">
              <w:rPr>
                <w:rFonts w:cstheme="minorHAnsi"/>
                <w:sz w:val="16"/>
                <w:szCs w:val="16"/>
              </w:rPr>
              <w:t>Internet mandated (IN-based and light registration)</w:t>
            </w:r>
          </w:p>
        </w:tc>
        <w:tc>
          <w:tcPr>
            <w:tcW w:w="1170" w:type="dxa"/>
            <w:vAlign w:val="center"/>
          </w:tcPr>
          <w:p w:rsidR="00565A34" w:rsidRPr="00AA240C" w:rsidRDefault="00565A34" w:rsidP="00565A34">
            <w:pPr>
              <w:jc w:val="center"/>
              <w:rPr>
                <w:rFonts w:cstheme="minorHAnsi"/>
                <w:sz w:val="16"/>
                <w:szCs w:val="16"/>
              </w:rPr>
            </w:pPr>
            <w:r w:rsidRPr="00AA240C">
              <w:rPr>
                <w:rFonts w:cstheme="minorHAnsi"/>
                <w:sz w:val="16"/>
                <w:szCs w:val="16"/>
              </w:rPr>
              <w:t>Yes-quarterly report to investors</w:t>
            </w:r>
          </w:p>
        </w:tc>
        <w:tc>
          <w:tcPr>
            <w:tcW w:w="1283" w:type="dxa"/>
            <w:vAlign w:val="center"/>
          </w:tcPr>
          <w:p w:rsidR="00565A34" w:rsidRPr="00AA240C" w:rsidRDefault="00565A34" w:rsidP="00565A34">
            <w:pPr>
              <w:jc w:val="center"/>
              <w:rPr>
                <w:rFonts w:cstheme="minorHAnsi"/>
                <w:sz w:val="16"/>
                <w:szCs w:val="16"/>
              </w:rPr>
            </w:pPr>
          </w:p>
        </w:tc>
      </w:tr>
      <w:tr w:rsidR="00565A34" w:rsidRPr="000D7FA9" w:rsidTr="00174AA1">
        <w:trPr>
          <w:cantSplit/>
          <w:trHeight w:val="566"/>
          <w:jc w:val="center"/>
        </w:trPr>
        <w:tc>
          <w:tcPr>
            <w:tcW w:w="1075" w:type="dxa"/>
          </w:tcPr>
          <w:p w:rsidR="00565A34" w:rsidRPr="000D7FA9" w:rsidRDefault="00565A34" w:rsidP="00565A34">
            <w:pP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Kansas</w:t>
            </w:r>
          </w:p>
        </w:tc>
        <w:tc>
          <w:tcPr>
            <w:tcW w:w="1193" w:type="dxa"/>
          </w:tcPr>
          <w:p w:rsidR="00565A34" w:rsidRPr="000D7FA9" w:rsidRDefault="00565A34" w:rsidP="00565A34">
            <w:pPr>
              <w:jc w:val="center"/>
              <w:rPr>
                <w:rFonts w:cstheme="minorHAnsi"/>
                <w:sz w:val="16"/>
                <w:szCs w:val="16"/>
              </w:rPr>
            </w:pPr>
            <w:r w:rsidRPr="000D7FA9">
              <w:rPr>
                <w:rFonts w:cstheme="minorHAnsi"/>
                <w:sz w:val="16"/>
                <w:szCs w:val="16"/>
              </w:rPr>
              <w:t>K.A.R. 81-5-21, “Invest Kansas Exemption”</w:t>
            </w:r>
          </w:p>
        </w:tc>
        <w:tc>
          <w:tcPr>
            <w:tcW w:w="3060" w:type="dxa"/>
          </w:tcPr>
          <w:p w:rsidR="00565A34" w:rsidRPr="00A96B00" w:rsidRDefault="00565A34" w:rsidP="00565A34">
            <w:pPr>
              <w:rPr>
                <w:rFonts w:cstheme="minorHAnsi"/>
                <w:b/>
                <w:sz w:val="16"/>
                <w:szCs w:val="16"/>
              </w:rPr>
            </w:pPr>
            <w:r w:rsidRPr="00A96B00">
              <w:rPr>
                <w:rFonts w:cstheme="minorHAnsi"/>
                <w:b/>
                <w:sz w:val="16"/>
                <w:szCs w:val="16"/>
              </w:rPr>
              <w:t>The exemption was adopted on August 12, 2011 by the Office of the Kansas Securities Commissioner.</w:t>
            </w:r>
          </w:p>
        </w:tc>
        <w:tc>
          <w:tcPr>
            <w:tcW w:w="1170" w:type="dxa"/>
            <w:gridSpan w:val="2"/>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Yes</w:t>
            </w:r>
          </w:p>
        </w:tc>
        <w:tc>
          <w:tcPr>
            <w:tcW w:w="1057" w:type="dxa"/>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$1 million</w:t>
            </w:r>
          </w:p>
        </w:tc>
        <w:tc>
          <w:tcPr>
            <w:tcW w:w="1013" w:type="dxa"/>
            <w:gridSpan w:val="2"/>
          </w:tcPr>
          <w:p w:rsidR="00565A34" w:rsidRPr="000D7FA9" w:rsidRDefault="00565A34" w:rsidP="00565A34">
            <w:pPr>
              <w:jc w:val="center"/>
              <w:rPr>
                <w:rFonts w:cstheme="minorHAnsi"/>
                <w:sz w:val="16"/>
                <w:szCs w:val="16"/>
              </w:rPr>
            </w:pPr>
            <w:r w:rsidRPr="000D7FA9">
              <w:rPr>
                <w:rFonts w:cstheme="minorHAnsi"/>
                <w:sz w:val="16"/>
                <w:szCs w:val="16"/>
              </w:rPr>
              <w:t>$5,000 unless accredited</w:t>
            </w:r>
          </w:p>
        </w:tc>
        <w:tc>
          <w:tcPr>
            <w:tcW w:w="1417" w:type="dxa"/>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No (unless BD)</w:t>
            </w:r>
          </w:p>
        </w:tc>
        <w:tc>
          <w:tcPr>
            <w:tcW w:w="1463" w:type="dxa"/>
            <w:gridSpan w:val="2"/>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Notice filing</w:t>
            </w:r>
          </w:p>
        </w:tc>
        <w:tc>
          <w:tcPr>
            <w:tcW w:w="697" w:type="dxa"/>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Yes</w:t>
            </w:r>
          </w:p>
        </w:tc>
        <w:tc>
          <w:tcPr>
            <w:tcW w:w="1170" w:type="dxa"/>
          </w:tcPr>
          <w:p w:rsidR="00565A34" w:rsidRPr="000D7FA9" w:rsidRDefault="00565A34" w:rsidP="00565A34">
            <w:pPr>
              <w:jc w:val="center"/>
              <w:rPr>
                <w:rFonts w:cstheme="minorHAnsi"/>
                <w:sz w:val="16"/>
                <w:szCs w:val="16"/>
              </w:rPr>
            </w:pPr>
          </w:p>
        </w:tc>
        <w:tc>
          <w:tcPr>
            <w:tcW w:w="1170" w:type="dxa"/>
          </w:tcPr>
          <w:p w:rsidR="00565A34" w:rsidRPr="000D7FA9" w:rsidRDefault="00565A34" w:rsidP="00565A34">
            <w:pPr>
              <w:jc w:val="center"/>
              <w:rPr>
                <w:rFonts w:cstheme="minorHAnsi"/>
                <w:sz w:val="16"/>
                <w:szCs w:val="16"/>
              </w:rPr>
            </w:pPr>
          </w:p>
        </w:tc>
        <w:tc>
          <w:tcPr>
            <w:tcW w:w="1283" w:type="dxa"/>
            <w:vAlign w:val="center"/>
          </w:tcPr>
          <w:p w:rsidR="00565A34" w:rsidRPr="000D7FA9" w:rsidRDefault="00565A34" w:rsidP="00565A34">
            <w:pPr>
              <w:jc w:val="center"/>
              <w:rPr>
                <w:rFonts w:cstheme="minorHAnsi"/>
                <w:sz w:val="16"/>
                <w:szCs w:val="16"/>
              </w:rPr>
            </w:pPr>
            <w:r w:rsidRPr="000D7FA9">
              <w:rPr>
                <w:rFonts w:cstheme="minorHAnsi"/>
                <w:sz w:val="16"/>
                <w:szCs w:val="16"/>
              </w:rPr>
              <w:t>Yes—25 sale exemption</w:t>
            </w:r>
          </w:p>
        </w:tc>
      </w:tr>
      <w:tr w:rsidR="00565A34" w:rsidRPr="000D7FA9" w:rsidTr="00174AA1">
        <w:trPr>
          <w:cantSplit/>
          <w:trHeight w:val="521"/>
          <w:jc w:val="center"/>
        </w:trPr>
        <w:tc>
          <w:tcPr>
            <w:tcW w:w="1075" w:type="dxa"/>
            <w:vAlign w:val="center"/>
          </w:tcPr>
          <w:p w:rsidR="00565A34" w:rsidRPr="005B4ADE" w:rsidRDefault="00565A34" w:rsidP="00565A34">
            <w:pPr>
              <w:jc w:val="center"/>
              <w:rPr>
                <w:rFonts w:cstheme="minorHAnsi"/>
                <w:sz w:val="16"/>
                <w:szCs w:val="16"/>
              </w:rPr>
            </w:pPr>
            <w:r w:rsidRPr="005B4ADE">
              <w:rPr>
                <w:rFonts w:cstheme="minorHAnsi"/>
                <w:sz w:val="16"/>
                <w:szCs w:val="16"/>
              </w:rPr>
              <w:t>Maine</w:t>
            </w:r>
          </w:p>
        </w:tc>
        <w:tc>
          <w:tcPr>
            <w:tcW w:w="1193" w:type="dxa"/>
            <w:vAlign w:val="center"/>
          </w:tcPr>
          <w:p w:rsidR="00565A34" w:rsidRPr="005B4ADE" w:rsidRDefault="00565A34" w:rsidP="00565A34">
            <w:pPr>
              <w:jc w:val="center"/>
              <w:rPr>
                <w:rFonts w:cstheme="minorHAnsi"/>
                <w:sz w:val="16"/>
                <w:szCs w:val="16"/>
              </w:rPr>
            </w:pPr>
            <w:r>
              <w:rPr>
                <w:rFonts w:cstheme="minorHAnsi"/>
                <w:bCs/>
                <w:sz w:val="16"/>
                <w:szCs w:val="16"/>
              </w:rPr>
              <w:t xml:space="preserve">LD </w:t>
            </w:r>
            <w:r w:rsidRPr="005B4ADE">
              <w:rPr>
                <w:rFonts w:cstheme="minorHAnsi"/>
                <w:bCs/>
                <w:sz w:val="16"/>
                <w:szCs w:val="16"/>
              </w:rPr>
              <w:t>1512</w:t>
            </w:r>
            <w:r>
              <w:rPr>
                <w:rFonts w:cstheme="minorHAnsi"/>
                <w:bCs/>
                <w:sz w:val="16"/>
                <w:szCs w:val="16"/>
              </w:rPr>
              <w:t xml:space="preserve"> </w:t>
            </w:r>
            <w:r w:rsidRPr="005B4ADE">
              <w:rPr>
                <w:rFonts w:cstheme="minorHAnsi"/>
                <w:bCs/>
                <w:sz w:val="16"/>
                <w:szCs w:val="16"/>
              </w:rPr>
              <w:t>/</w:t>
            </w:r>
            <w:r>
              <w:rPr>
                <w:rFonts w:cstheme="minorHAnsi"/>
                <w:bCs/>
                <w:sz w:val="16"/>
                <w:szCs w:val="16"/>
              </w:rPr>
              <w:t xml:space="preserve"> </w:t>
            </w:r>
            <w:r w:rsidRPr="005B4ADE">
              <w:rPr>
                <w:rFonts w:cstheme="minorHAnsi"/>
                <w:bCs/>
                <w:sz w:val="16"/>
                <w:szCs w:val="16"/>
              </w:rPr>
              <w:t>Chapter 452</w:t>
            </w:r>
          </w:p>
        </w:tc>
        <w:tc>
          <w:tcPr>
            <w:tcW w:w="3060" w:type="dxa"/>
            <w:vAlign w:val="center"/>
          </w:tcPr>
          <w:p w:rsidR="00565A34" w:rsidRPr="005B4ADE" w:rsidRDefault="00565A34" w:rsidP="00565A34">
            <w:pPr>
              <w:rPr>
                <w:rFonts w:cstheme="minorHAnsi"/>
                <w:sz w:val="16"/>
                <w:szCs w:val="16"/>
              </w:rPr>
            </w:pPr>
            <w:r w:rsidRPr="005B4ADE">
              <w:rPr>
                <w:rFonts w:cstheme="minorHAnsi"/>
                <w:sz w:val="16"/>
                <w:szCs w:val="16"/>
              </w:rPr>
              <w:t xml:space="preserve">The original bill was introduced on May 7, 2013.  </w:t>
            </w:r>
            <w:r w:rsidRPr="00A96B00">
              <w:rPr>
                <w:b/>
                <w:sz w:val="16"/>
                <w:szCs w:val="16"/>
              </w:rPr>
              <w:t>LD 1512 became Public Law on March 2, 2014 as Chapter 452.</w:t>
            </w:r>
          </w:p>
        </w:tc>
        <w:tc>
          <w:tcPr>
            <w:tcW w:w="1170" w:type="dxa"/>
            <w:gridSpan w:val="2"/>
            <w:vAlign w:val="center"/>
          </w:tcPr>
          <w:p w:rsidR="00565A34" w:rsidRPr="005B4ADE" w:rsidRDefault="00565A34" w:rsidP="00565A34">
            <w:pPr>
              <w:jc w:val="center"/>
              <w:rPr>
                <w:rFonts w:cstheme="minorHAnsi"/>
                <w:sz w:val="16"/>
                <w:szCs w:val="16"/>
              </w:rPr>
            </w:pPr>
            <w:r w:rsidRPr="005B4ADE">
              <w:rPr>
                <w:rFonts w:cstheme="minorHAnsi"/>
                <w:sz w:val="16"/>
                <w:szCs w:val="16"/>
              </w:rPr>
              <w:t>No (Rule 504)</w:t>
            </w:r>
          </w:p>
        </w:tc>
        <w:tc>
          <w:tcPr>
            <w:tcW w:w="1057" w:type="dxa"/>
            <w:vAlign w:val="center"/>
          </w:tcPr>
          <w:p w:rsidR="00565A34" w:rsidRPr="005B4ADE" w:rsidRDefault="00565A34" w:rsidP="00565A34">
            <w:pPr>
              <w:jc w:val="center"/>
              <w:rPr>
                <w:rFonts w:cstheme="minorHAnsi"/>
                <w:sz w:val="16"/>
                <w:szCs w:val="16"/>
              </w:rPr>
            </w:pPr>
            <w:r w:rsidRPr="005B4ADE">
              <w:rPr>
                <w:rFonts w:cstheme="minorHAnsi"/>
                <w:sz w:val="16"/>
                <w:szCs w:val="16"/>
              </w:rPr>
              <w:t>$1 million</w:t>
            </w:r>
          </w:p>
        </w:tc>
        <w:tc>
          <w:tcPr>
            <w:tcW w:w="1013" w:type="dxa"/>
            <w:gridSpan w:val="2"/>
            <w:vAlign w:val="center"/>
          </w:tcPr>
          <w:p w:rsidR="00565A34" w:rsidRPr="005B4ADE" w:rsidRDefault="00565A34" w:rsidP="00565A34">
            <w:pPr>
              <w:jc w:val="center"/>
              <w:rPr>
                <w:rFonts w:cstheme="minorHAnsi"/>
                <w:sz w:val="16"/>
                <w:szCs w:val="16"/>
              </w:rPr>
            </w:pPr>
            <w:r w:rsidRPr="005B4ADE">
              <w:rPr>
                <w:rFonts w:cstheme="minorHAnsi"/>
                <w:sz w:val="16"/>
                <w:szCs w:val="16"/>
              </w:rPr>
              <w:t>$5,000</w:t>
            </w:r>
          </w:p>
        </w:tc>
        <w:tc>
          <w:tcPr>
            <w:tcW w:w="1417" w:type="dxa"/>
            <w:vAlign w:val="center"/>
          </w:tcPr>
          <w:p w:rsidR="00565A34" w:rsidRPr="005B4ADE" w:rsidRDefault="00565A34" w:rsidP="00565A34">
            <w:pPr>
              <w:jc w:val="center"/>
              <w:rPr>
                <w:rFonts w:cstheme="minorHAnsi"/>
                <w:sz w:val="16"/>
                <w:szCs w:val="16"/>
              </w:rPr>
            </w:pPr>
          </w:p>
        </w:tc>
        <w:tc>
          <w:tcPr>
            <w:tcW w:w="1463" w:type="dxa"/>
            <w:gridSpan w:val="2"/>
            <w:vAlign w:val="center"/>
          </w:tcPr>
          <w:p w:rsidR="00565A34" w:rsidRPr="005B4ADE" w:rsidRDefault="00565A34" w:rsidP="00565A34">
            <w:pPr>
              <w:jc w:val="center"/>
              <w:rPr>
                <w:rFonts w:cstheme="minorHAnsi"/>
                <w:sz w:val="16"/>
                <w:szCs w:val="16"/>
              </w:rPr>
            </w:pPr>
            <w:r w:rsidRPr="005B4ADE">
              <w:rPr>
                <w:rFonts w:cstheme="minorHAnsi"/>
                <w:sz w:val="16"/>
                <w:szCs w:val="16"/>
              </w:rPr>
              <w:t>Short-form registration statement</w:t>
            </w:r>
          </w:p>
        </w:tc>
        <w:tc>
          <w:tcPr>
            <w:tcW w:w="697" w:type="dxa"/>
            <w:vAlign w:val="center"/>
          </w:tcPr>
          <w:p w:rsidR="00565A34" w:rsidRPr="005B4ADE" w:rsidRDefault="00565A34" w:rsidP="00565A34">
            <w:pPr>
              <w:jc w:val="center"/>
              <w:rPr>
                <w:rFonts w:cstheme="minorHAnsi"/>
                <w:sz w:val="16"/>
                <w:szCs w:val="16"/>
              </w:rPr>
            </w:pPr>
            <w:r w:rsidRPr="005B4ADE">
              <w:rPr>
                <w:rFonts w:cstheme="minorHAnsi"/>
                <w:sz w:val="16"/>
                <w:szCs w:val="16"/>
              </w:rPr>
              <w:t>Yes</w:t>
            </w:r>
          </w:p>
        </w:tc>
        <w:tc>
          <w:tcPr>
            <w:tcW w:w="1170" w:type="dxa"/>
            <w:vAlign w:val="center"/>
          </w:tcPr>
          <w:p w:rsidR="00565A34" w:rsidRPr="005B4ADE" w:rsidRDefault="00565A34" w:rsidP="00565A34">
            <w:pPr>
              <w:jc w:val="center"/>
              <w:rPr>
                <w:rFonts w:cstheme="minorHAnsi"/>
                <w:sz w:val="16"/>
                <w:szCs w:val="16"/>
              </w:rPr>
            </w:pPr>
          </w:p>
        </w:tc>
        <w:tc>
          <w:tcPr>
            <w:tcW w:w="1170" w:type="dxa"/>
            <w:vAlign w:val="center"/>
          </w:tcPr>
          <w:p w:rsidR="00565A34" w:rsidRPr="000D7FA9" w:rsidRDefault="00565A34" w:rsidP="00565A34">
            <w:pPr>
              <w:jc w:val="center"/>
              <w:rPr>
                <w:rFonts w:cstheme="minorHAnsi"/>
                <w:sz w:val="16"/>
                <w:szCs w:val="16"/>
              </w:rPr>
            </w:pPr>
          </w:p>
        </w:tc>
        <w:tc>
          <w:tcPr>
            <w:tcW w:w="1283" w:type="dxa"/>
            <w:vAlign w:val="center"/>
          </w:tcPr>
          <w:p w:rsidR="00565A34" w:rsidRPr="000D7FA9" w:rsidRDefault="00565A34" w:rsidP="00565A34">
            <w:pPr>
              <w:jc w:val="center"/>
              <w:rPr>
                <w:rFonts w:cstheme="minorHAnsi"/>
                <w:sz w:val="16"/>
                <w:szCs w:val="16"/>
              </w:rPr>
            </w:pPr>
          </w:p>
        </w:tc>
      </w:tr>
      <w:tr w:rsidR="00565A34" w:rsidRPr="000D7FA9" w:rsidTr="00A011E0">
        <w:trPr>
          <w:cantSplit/>
          <w:trHeight w:val="539"/>
          <w:jc w:val="center"/>
        </w:trPr>
        <w:tc>
          <w:tcPr>
            <w:tcW w:w="1075" w:type="dxa"/>
          </w:tcPr>
          <w:p w:rsidR="00565A34" w:rsidRPr="000D7FA9" w:rsidRDefault="00565A34" w:rsidP="00565A34">
            <w:pP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Maryland</w:t>
            </w:r>
          </w:p>
        </w:tc>
        <w:tc>
          <w:tcPr>
            <w:tcW w:w="1193" w:type="dxa"/>
          </w:tcPr>
          <w:p w:rsidR="00565A34" w:rsidRPr="000D7FA9" w:rsidRDefault="00565A34" w:rsidP="00565A34">
            <w:pP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HB 1278</w:t>
            </w:r>
          </w:p>
        </w:tc>
        <w:tc>
          <w:tcPr>
            <w:tcW w:w="3060" w:type="dxa"/>
          </w:tcPr>
          <w:p w:rsidR="00565A34" w:rsidRPr="000D7FA9" w:rsidRDefault="00565A34" w:rsidP="00565A34">
            <w:pPr>
              <w:rPr>
                <w:rFonts w:cstheme="minorHAnsi"/>
                <w:sz w:val="16"/>
                <w:szCs w:val="16"/>
              </w:rPr>
            </w:pPr>
            <w:r w:rsidRPr="000D7FA9">
              <w:rPr>
                <w:rFonts w:cstheme="minorHAnsi"/>
                <w:sz w:val="16"/>
                <w:szCs w:val="16"/>
              </w:rPr>
              <w:t xml:space="preserve">An “Unfavorable Report” was issued by the Maryland House Economic Matters Committee on March 4, 2013.  </w:t>
            </w:r>
            <w:r w:rsidRPr="00A96B00">
              <w:rPr>
                <w:rFonts w:cstheme="minorHAnsi"/>
                <w:sz w:val="16"/>
                <w:szCs w:val="16"/>
                <w:u w:val="single"/>
              </w:rPr>
              <w:t>The bill expired on January 8, 2014.</w:t>
            </w:r>
          </w:p>
        </w:tc>
        <w:tc>
          <w:tcPr>
            <w:tcW w:w="10440" w:type="dxa"/>
            <w:gridSpan w:val="12"/>
          </w:tcPr>
          <w:p w:rsidR="00565A34" w:rsidRDefault="00565A34" w:rsidP="00565A34">
            <w:pPr>
              <w:rPr>
                <w:rFonts w:cstheme="minorHAnsi"/>
                <w:i/>
                <w:sz w:val="16"/>
                <w:szCs w:val="16"/>
              </w:rPr>
            </w:pPr>
          </w:p>
          <w:p w:rsidR="00565A34" w:rsidRPr="000D7FA9" w:rsidRDefault="00565A34" w:rsidP="00565A34">
            <w:pPr>
              <w:rPr>
                <w:rFonts w:cstheme="minorHAnsi"/>
                <w:i/>
                <w:sz w:val="16"/>
                <w:szCs w:val="16"/>
              </w:rPr>
            </w:pPr>
            <w:r w:rsidRPr="000D7FA9">
              <w:rPr>
                <w:rFonts w:cstheme="minorHAnsi"/>
                <w:i/>
                <w:sz w:val="16"/>
                <w:szCs w:val="16"/>
              </w:rPr>
              <w:t xml:space="preserve">This bill is </w:t>
            </w:r>
            <w:r w:rsidRPr="00A96B00">
              <w:rPr>
                <w:rFonts w:cstheme="minorHAnsi"/>
                <w:i/>
                <w:sz w:val="16"/>
                <w:szCs w:val="16"/>
                <w:u w:val="single"/>
              </w:rPr>
              <w:t>tied to the federal crowdfunding exemption</w:t>
            </w:r>
            <w:r w:rsidRPr="000D7FA9">
              <w:rPr>
                <w:rFonts w:cstheme="minorHAnsi"/>
                <w:i/>
                <w:sz w:val="16"/>
                <w:szCs w:val="16"/>
              </w:rPr>
              <w:t>, but it removed the ability of Maryland’s state regulator to take enforcement action with respect to fraud or deceit by a participant in an offering sold through crowdfunding.</w:t>
            </w:r>
          </w:p>
        </w:tc>
      </w:tr>
      <w:tr w:rsidR="00565A34" w:rsidRPr="000D7FA9" w:rsidTr="00A011E0">
        <w:trPr>
          <w:cantSplit/>
          <w:trHeight w:val="539"/>
          <w:jc w:val="center"/>
        </w:trPr>
        <w:tc>
          <w:tcPr>
            <w:tcW w:w="1075" w:type="dxa"/>
            <w:vAlign w:val="center"/>
          </w:tcPr>
          <w:p w:rsidR="00565A34" w:rsidRPr="000D7FA9" w:rsidRDefault="00565A34" w:rsidP="00565A34">
            <w:pPr>
              <w:jc w:val="center"/>
              <w:rPr>
                <w:rFonts w:cstheme="minorHAnsi"/>
                <w:sz w:val="16"/>
                <w:szCs w:val="16"/>
              </w:rPr>
            </w:pPr>
            <w:r>
              <w:rPr>
                <w:rFonts w:cstheme="minorHAnsi"/>
                <w:sz w:val="16"/>
                <w:szCs w:val="16"/>
              </w:rPr>
              <w:t>Maryland</w:t>
            </w:r>
          </w:p>
        </w:tc>
        <w:tc>
          <w:tcPr>
            <w:tcW w:w="1193" w:type="dxa"/>
            <w:vAlign w:val="center"/>
          </w:tcPr>
          <w:p w:rsidR="00565A34" w:rsidRPr="000D7FA9" w:rsidRDefault="00335535" w:rsidP="00565A34">
            <w:pPr>
              <w:jc w:val="center"/>
              <w:rPr>
                <w:rFonts w:cstheme="minorHAnsi"/>
                <w:sz w:val="16"/>
                <w:szCs w:val="16"/>
              </w:rPr>
            </w:pPr>
            <w:r>
              <w:rPr>
                <w:rFonts w:cstheme="minorHAnsi"/>
                <w:sz w:val="16"/>
                <w:szCs w:val="16"/>
              </w:rPr>
              <w:t>SB 811/HB 1243/Chapters 557 &amp; 558</w:t>
            </w:r>
          </w:p>
        </w:tc>
        <w:tc>
          <w:tcPr>
            <w:tcW w:w="3060" w:type="dxa"/>
          </w:tcPr>
          <w:p w:rsidR="00565A34" w:rsidRPr="000D7FA9" w:rsidRDefault="00565A34" w:rsidP="008C239A">
            <w:pPr>
              <w:rPr>
                <w:rFonts w:cstheme="minorHAnsi"/>
                <w:sz w:val="16"/>
                <w:szCs w:val="16"/>
              </w:rPr>
            </w:pPr>
            <w:r>
              <w:rPr>
                <w:rFonts w:cstheme="minorHAnsi"/>
                <w:sz w:val="16"/>
                <w:szCs w:val="16"/>
              </w:rPr>
              <w:t>SB 811 wa</w:t>
            </w:r>
            <w:r w:rsidRPr="00B11769">
              <w:rPr>
                <w:rFonts w:cstheme="minorHAnsi"/>
                <w:sz w:val="16"/>
                <w:szCs w:val="16"/>
              </w:rPr>
              <w:t>s introduced on January 31, 2014 and HB 1243</w:t>
            </w:r>
            <w:r w:rsidR="008C239A">
              <w:rPr>
                <w:rFonts w:cstheme="minorHAnsi"/>
                <w:sz w:val="16"/>
                <w:szCs w:val="16"/>
              </w:rPr>
              <w:t xml:space="preserve"> was introduced on February 7</w:t>
            </w:r>
            <w:r>
              <w:rPr>
                <w:rFonts w:cstheme="minorHAnsi"/>
                <w:sz w:val="16"/>
                <w:szCs w:val="16"/>
              </w:rPr>
              <w:t>.</w:t>
            </w:r>
            <w:r w:rsidR="00FD7EE4">
              <w:rPr>
                <w:rFonts w:cstheme="minorHAnsi"/>
                <w:sz w:val="16"/>
                <w:szCs w:val="16"/>
              </w:rPr>
              <w:t xml:space="preserve">  </w:t>
            </w:r>
            <w:r w:rsidR="00FD7EE4">
              <w:rPr>
                <w:rFonts w:cstheme="minorHAnsi"/>
                <w:b/>
                <w:sz w:val="16"/>
                <w:szCs w:val="16"/>
              </w:rPr>
              <w:t>Governor Martin O’Malley signed both bills into law on May 15, 2014 as Chapter 557 (SB 811) and Chapter 558 (HB 1243).</w:t>
            </w:r>
            <w:r w:rsidR="00AA3061">
              <w:rPr>
                <w:rFonts w:cstheme="minorHAnsi"/>
                <w:b/>
                <w:sz w:val="16"/>
                <w:szCs w:val="16"/>
              </w:rPr>
              <w:t xml:space="preserve">  The law will become effective on October 1, 2014.</w:t>
            </w:r>
            <w:r>
              <w:rPr>
                <w:rFonts w:cstheme="minorHAnsi"/>
                <w:sz w:val="16"/>
                <w:szCs w:val="16"/>
              </w:rPr>
              <w:t xml:space="preserve"> </w:t>
            </w:r>
          </w:p>
        </w:tc>
        <w:tc>
          <w:tcPr>
            <w:tcW w:w="10440" w:type="dxa"/>
            <w:gridSpan w:val="12"/>
          </w:tcPr>
          <w:p w:rsidR="0094059A" w:rsidRDefault="0094059A" w:rsidP="00565A34">
            <w:pPr>
              <w:rPr>
                <w:rFonts w:cstheme="minorHAnsi"/>
                <w:i/>
                <w:sz w:val="16"/>
                <w:szCs w:val="16"/>
              </w:rPr>
            </w:pPr>
          </w:p>
          <w:p w:rsidR="00565A34" w:rsidRDefault="00565A34" w:rsidP="00565A34">
            <w:pPr>
              <w:rPr>
                <w:rFonts w:cstheme="minorHAnsi"/>
                <w:i/>
                <w:sz w:val="16"/>
                <w:szCs w:val="16"/>
              </w:rPr>
            </w:pPr>
            <w:r w:rsidRPr="00BD0C10">
              <w:rPr>
                <w:rFonts w:cstheme="minorHAnsi"/>
                <w:i/>
                <w:sz w:val="16"/>
                <w:szCs w:val="16"/>
              </w:rPr>
              <w:t xml:space="preserve">The bill creates a </w:t>
            </w:r>
            <w:r w:rsidRPr="008030C4">
              <w:rPr>
                <w:rFonts w:cstheme="minorHAnsi"/>
                <w:i/>
                <w:sz w:val="16"/>
                <w:szCs w:val="16"/>
              </w:rPr>
              <w:t>new type of exempted security</w:t>
            </w:r>
            <w:r w:rsidRPr="00BD0C10">
              <w:rPr>
                <w:rFonts w:cstheme="minorHAnsi"/>
                <w:i/>
                <w:sz w:val="16"/>
                <w:szCs w:val="16"/>
              </w:rPr>
              <w:t xml:space="preserve"> (as established by rulemaking) for Maryland-organized entities pursuant to the federal intrastate exemption.  Individual consideration paid may not exceed $100, the total offering amount cannot exceed $100,000, offers and sales must be made only to residents, registration required for broker-dealers, disqualification provisions, and rulemaking/order authority to establish notice requirement, disclosur</w:t>
            </w:r>
            <w:r>
              <w:rPr>
                <w:rFonts w:cstheme="minorHAnsi"/>
                <w:i/>
                <w:sz w:val="16"/>
                <w:szCs w:val="16"/>
              </w:rPr>
              <w:t>es, and other restrictions.  The law will go into effect on October 1, 2014 after the state securities commission issues rules.</w:t>
            </w:r>
          </w:p>
        </w:tc>
      </w:tr>
      <w:tr w:rsidR="00565A34" w:rsidRPr="00603F83" w:rsidTr="00174AA1">
        <w:trPr>
          <w:cantSplit/>
          <w:trHeight w:val="521"/>
          <w:jc w:val="center"/>
        </w:trPr>
        <w:tc>
          <w:tcPr>
            <w:tcW w:w="1075" w:type="dxa"/>
          </w:tcPr>
          <w:p w:rsidR="00565A34" w:rsidRPr="00560925" w:rsidRDefault="00565A34" w:rsidP="00565A34">
            <w:pPr>
              <w:jc w:val="center"/>
              <w:rPr>
                <w:rFonts w:cstheme="minorHAnsi"/>
                <w:sz w:val="16"/>
                <w:szCs w:val="16"/>
              </w:rPr>
            </w:pPr>
          </w:p>
          <w:p w:rsidR="00565A34" w:rsidRPr="00560925" w:rsidRDefault="00565A34" w:rsidP="00565A34">
            <w:pPr>
              <w:rPr>
                <w:rFonts w:cstheme="minorHAnsi"/>
                <w:sz w:val="16"/>
                <w:szCs w:val="16"/>
              </w:rPr>
            </w:pPr>
          </w:p>
          <w:p w:rsidR="00565A34" w:rsidRPr="00560925" w:rsidRDefault="00565A34" w:rsidP="00565A34">
            <w:pPr>
              <w:jc w:val="center"/>
              <w:rPr>
                <w:rFonts w:cstheme="minorHAnsi"/>
                <w:sz w:val="16"/>
                <w:szCs w:val="16"/>
              </w:rPr>
            </w:pPr>
            <w:r w:rsidRPr="00560925">
              <w:rPr>
                <w:rFonts w:cstheme="minorHAnsi"/>
                <w:sz w:val="16"/>
                <w:szCs w:val="16"/>
              </w:rPr>
              <w:t>Maryland</w:t>
            </w:r>
          </w:p>
        </w:tc>
        <w:tc>
          <w:tcPr>
            <w:tcW w:w="1193" w:type="dxa"/>
            <w:vAlign w:val="center"/>
          </w:tcPr>
          <w:p w:rsidR="00565A34" w:rsidRPr="00560925" w:rsidRDefault="00565A34" w:rsidP="00565A34">
            <w:pPr>
              <w:jc w:val="center"/>
              <w:rPr>
                <w:rFonts w:cstheme="minorHAnsi"/>
                <w:sz w:val="16"/>
                <w:szCs w:val="16"/>
              </w:rPr>
            </w:pPr>
            <w:r w:rsidRPr="00560925">
              <w:rPr>
                <w:rFonts w:cstheme="minorHAnsi"/>
                <w:sz w:val="16"/>
                <w:szCs w:val="16"/>
              </w:rPr>
              <w:t>HB 1365*</w:t>
            </w:r>
          </w:p>
        </w:tc>
        <w:tc>
          <w:tcPr>
            <w:tcW w:w="3060" w:type="dxa"/>
            <w:vAlign w:val="center"/>
          </w:tcPr>
          <w:p w:rsidR="00565A34" w:rsidRPr="00560925" w:rsidRDefault="00565A34" w:rsidP="00565A34">
            <w:pPr>
              <w:rPr>
                <w:rFonts w:cstheme="minorHAnsi"/>
                <w:sz w:val="16"/>
                <w:szCs w:val="16"/>
              </w:rPr>
            </w:pPr>
            <w:r w:rsidRPr="00560925">
              <w:rPr>
                <w:rFonts w:cstheme="minorHAnsi"/>
                <w:sz w:val="16"/>
                <w:szCs w:val="16"/>
              </w:rPr>
              <w:t>The bill was introduced and received its first reading in the House Rules and Executive Nominations Committee on February 10, 2014.</w:t>
            </w:r>
          </w:p>
        </w:tc>
        <w:tc>
          <w:tcPr>
            <w:tcW w:w="1170" w:type="dxa"/>
            <w:gridSpan w:val="2"/>
            <w:vAlign w:val="center"/>
          </w:tcPr>
          <w:p w:rsidR="00565A34" w:rsidRPr="00603F83" w:rsidRDefault="00565A34" w:rsidP="00565A34">
            <w:pPr>
              <w:jc w:val="center"/>
              <w:rPr>
                <w:rFonts w:cstheme="minorHAnsi"/>
                <w:sz w:val="16"/>
                <w:szCs w:val="16"/>
                <w:highlight w:val="yellow"/>
              </w:rPr>
            </w:pPr>
            <w:r w:rsidRPr="00560925">
              <w:rPr>
                <w:rFonts w:cstheme="minorHAnsi"/>
                <w:sz w:val="16"/>
                <w:szCs w:val="16"/>
              </w:rPr>
              <w:t>Yes</w:t>
            </w:r>
          </w:p>
        </w:tc>
        <w:tc>
          <w:tcPr>
            <w:tcW w:w="1057" w:type="dxa"/>
            <w:vAlign w:val="center"/>
          </w:tcPr>
          <w:p w:rsidR="00565A34" w:rsidRPr="00560925" w:rsidRDefault="00565A34" w:rsidP="00565A34">
            <w:pPr>
              <w:jc w:val="center"/>
              <w:rPr>
                <w:rFonts w:cstheme="minorHAnsi"/>
                <w:sz w:val="16"/>
                <w:szCs w:val="16"/>
              </w:rPr>
            </w:pPr>
            <w:r w:rsidRPr="00560925">
              <w:rPr>
                <w:rFonts w:cstheme="minorHAnsi"/>
                <w:sz w:val="16"/>
                <w:szCs w:val="16"/>
              </w:rPr>
              <w:t>$1 million; $2 million if audited</w:t>
            </w:r>
          </w:p>
        </w:tc>
        <w:tc>
          <w:tcPr>
            <w:tcW w:w="1013" w:type="dxa"/>
            <w:gridSpan w:val="2"/>
            <w:vAlign w:val="center"/>
          </w:tcPr>
          <w:p w:rsidR="00565A34" w:rsidRPr="00560925" w:rsidRDefault="00565A34" w:rsidP="00565A34">
            <w:pPr>
              <w:jc w:val="center"/>
              <w:rPr>
                <w:rFonts w:cstheme="minorHAnsi"/>
                <w:sz w:val="16"/>
                <w:szCs w:val="16"/>
              </w:rPr>
            </w:pPr>
            <w:r w:rsidRPr="00560925">
              <w:rPr>
                <w:rFonts w:cstheme="minorHAnsi"/>
                <w:sz w:val="16"/>
                <w:szCs w:val="16"/>
              </w:rPr>
              <w:t>$2,000</w:t>
            </w:r>
          </w:p>
          <w:p w:rsidR="00565A34" w:rsidRPr="00560925" w:rsidRDefault="00565A34" w:rsidP="00565A34">
            <w:pPr>
              <w:jc w:val="center"/>
              <w:rPr>
                <w:rFonts w:cstheme="minorHAnsi"/>
                <w:sz w:val="16"/>
                <w:szCs w:val="16"/>
              </w:rPr>
            </w:pPr>
            <w:r w:rsidRPr="00560925">
              <w:rPr>
                <w:rFonts w:cstheme="minorHAnsi"/>
                <w:sz w:val="16"/>
                <w:szCs w:val="16"/>
              </w:rPr>
              <w:t>unless accredited</w:t>
            </w:r>
          </w:p>
        </w:tc>
        <w:tc>
          <w:tcPr>
            <w:tcW w:w="1417" w:type="dxa"/>
            <w:vAlign w:val="center"/>
          </w:tcPr>
          <w:p w:rsidR="00565A34" w:rsidRPr="00B06E9C" w:rsidRDefault="00565A34" w:rsidP="00565A34">
            <w:pPr>
              <w:jc w:val="center"/>
              <w:rPr>
                <w:rFonts w:cstheme="minorHAnsi"/>
                <w:sz w:val="16"/>
                <w:szCs w:val="16"/>
              </w:rPr>
            </w:pPr>
            <w:r w:rsidRPr="00B06E9C">
              <w:rPr>
                <w:rFonts w:cstheme="minorHAnsi"/>
                <w:sz w:val="16"/>
                <w:szCs w:val="16"/>
              </w:rPr>
              <w:t>No (unless BD)</w:t>
            </w:r>
          </w:p>
        </w:tc>
        <w:tc>
          <w:tcPr>
            <w:tcW w:w="1463" w:type="dxa"/>
            <w:gridSpan w:val="2"/>
            <w:vAlign w:val="center"/>
          </w:tcPr>
          <w:p w:rsidR="00565A34" w:rsidRPr="00603F83" w:rsidRDefault="00565A34" w:rsidP="00565A34">
            <w:pPr>
              <w:rPr>
                <w:rFonts w:cstheme="minorHAnsi"/>
                <w:sz w:val="16"/>
                <w:szCs w:val="16"/>
                <w:highlight w:val="yellow"/>
              </w:rPr>
            </w:pPr>
            <w:r w:rsidRPr="00560925">
              <w:rPr>
                <w:rFonts w:cstheme="minorHAnsi"/>
                <w:sz w:val="16"/>
                <w:szCs w:val="16"/>
              </w:rPr>
              <w:t>Notice filing</w:t>
            </w:r>
            <w:r>
              <w:rPr>
                <w:rFonts w:cstheme="minorHAnsi"/>
                <w:sz w:val="16"/>
                <w:szCs w:val="16"/>
              </w:rPr>
              <w:t xml:space="preserve"> (incl. disclosure doc)</w:t>
            </w:r>
          </w:p>
        </w:tc>
        <w:tc>
          <w:tcPr>
            <w:tcW w:w="697" w:type="dxa"/>
            <w:vAlign w:val="center"/>
          </w:tcPr>
          <w:p w:rsidR="00565A34" w:rsidRPr="00603F83" w:rsidRDefault="00565A34" w:rsidP="00565A34">
            <w:pPr>
              <w:jc w:val="center"/>
              <w:rPr>
                <w:rFonts w:cstheme="minorHAnsi"/>
                <w:sz w:val="16"/>
                <w:szCs w:val="16"/>
                <w:highlight w:val="yellow"/>
              </w:rPr>
            </w:pPr>
          </w:p>
          <w:p w:rsidR="00565A34" w:rsidRPr="00603F83" w:rsidRDefault="00565A34" w:rsidP="00565A34">
            <w:pPr>
              <w:jc w:val="center"/>
              <w:rPr>
                <w:rFonts w:cstheme="minorHAnsi"/>
                <w:sz w:val="16"/>
                <w:szCs w:val="16"/>
                <w:highlight w:val="yellow"/>
              </w:rPr>
            </w:pPr>
          </w:p>
          <w:p w:rsidR="00565A34" w:rsidRPr="00603F83" w:rsidRDefault="00565A34" w:rsidP="00565A34">
            <w:pPr>
              <w:jc w:val="center"/>
              <w:rPr>
                <w:rFonts w:cstheme="minorHAnsi"/>
                <w:sz w:val="16"/>
                <w:szCs w:val="16"/>
                <w:highlight w:val="yellow"/>
              </w:rPr>
            </w:pPr>
          </w:p>
          <w:p w:rsidR="00565A34" w:rsidRPr="00603F83" w:rsidRDefault="00565A34" w:rsidP="00565A34">
            <w:pPr>
              <w:jc w:val="center"/>
              <w:rPr>
                <w:rFonts w:cstheme="minorHAnsi"/>
                <w:sz w:val="16"/>
                <w:szCs w:val="16"/>
                <w:highlight w:val="yellow"/>
              </w:rPr>
            </w:pPr>
          </w:p>
        </w:tc>
        <w:tc>
          <w:tcPr>
            <w:tcW w:w="1170" w:type="dxa"/>
            <w:vAlign w:val="center"/>
          </w:tcPr>
          <w:p w:rsidR="00565A34" w:rsidRPr="00603F83" w:rsidRDefault="00565A34" w:rsidP="00565A34">
            <w:pPr>
              <w:jc w:val="center"/>
              <w:rPr>
                <w:rFonts w:cstheme="minorHAnsi"/>
                <w:sz w:val="16"/>
                <w:szCs w:val="16"/>
                <w:highlight w:val="yellow"/>
              </w:rPr>
            </w:pPr>
            <w:r w:rsidRPr="00B06E9C">
              <w:rPr>
                <w:rFonts w:cstheme="minorHAnsi"/>
                <w:sz w:val="16"/>
                <w:szCs w:val="16"/>
              </w:rPr>
              <w:t>Yes (MD-qualified platforms only and light registration)</w:t>
            </w:r>
          </w:p>
        </w:tc>
        <w:tc>
          <w:tcPr>
            <w:tcW w:w="1170" w:type="dxa"/>
            <w:vAlign w:val="center"/>
          </w:tcPr>
          <w:p w:rsidR="00565A34" w:rsidRPr="00603F83" w:rsidRDefault="00565A34" w:rsidP="00C406B2">
            <w:pPr>
              <w:jc w:val="center"/>
              <w:rPr>
                <w:rFonts w:cstheme="minorHAnsi"/>
                <w:sz w:val="16"/>
                <w:szCs w:val="16"/>
                <w:highlight w:val="yellow"/>
              </w:rPr>
            </w:pPr>
            <w:r w:rsidRPr="00B06E9C">
              <w:rPr>
                <w:rFonts w:cstheme="minorHAnsi"/>
                <w:sz w:val="16"/>
                <w:szCs w:val="16"/>
              </w:rPr>
              <w:t>Yes – basic quarterly reports to investors</w:t>
            </w:r>
          </w:p>
        </w:tc>
        <w:tc>
          <w:tcPr>
            <w:tcW w:w="1283" w:type="dxa"/>
            <w:vAlign w:val="center"/>
          </w:tcPr>
          <w:p w:rsidR="00565A34" w:rsidRPr="00603F83" w:rsidRDefault="00565A34" w:rsidP="00565A34">
            <w:pPr>
              <w:jc w:val="center"/>
              <w:rPr>
                <w:rStyle w:val="fulltext"/>
                <w:rFonts w:cstheme="minorHAnsi"/>
                <w:sz w:val="16"/>
                <w:szCs w:val="16"/>
                <w:highlight w:val="yellow"/>
              </w:rPr>
            </w:pPr>
          </w:p>
        </w:tc>
      </w:tr>
      <w:tr w:rsidR="00565A34" w:rsidRPr="000D7FA9" w:rsidTr="00174AA1">
        <w:trPr>
          <w:cantSplit/>
          <w:trHeight w:val="521"/>
          <w:jc w:val="center"/>
        </w:trPr>
        <w:tc>
          <w:tcPr>
            <w:tcW w:w="1075" w:type="dxa"/>
          </w:tcPr>
          <w:p w:rsidR="00565A34" w:rsidRDefault="00565A34" w:rsidP="00565A34">
            <w:pPr>
              <w:rPr>
                <w:rFonts w:cstheme="minorHAnsi"/>
                <w:sz w:val="16"/>
                <w:szCs w:val="16"/>
              </w:rPr>
            </w:pPr>
          </w:p>
          <w:p w:rsidR="00565A34" w:rsidRPr="000D7FA9" w:rsidRDefault="00565A34" w:rsidP="00565A34">
            <w:pP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Michigan</w:t>
            </w:r>
          </w:p>
        </w:tc>
        <w:tc>
          <w:tcPr>
            <w:tcW w:w="1193" w:type="dxa"/>
          </w:tcPr>
          <w:p w:rsidR="00565A34" w:rsidRPr="000D7FA9" w:rsidRDefault="00565A34" w:rsidP="00565A34">
            <w:pP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HB 4996/Public Act 264</w:t>
            </w:r>
          </w:p>
        </w:tc>
        <w:tc>
          <w:tcPr>
            <w:tcW w:w="3060" w:type="dxa"/>
          </w:tcPr>
          <w:p w:rsidR="00565A34" w:rsidRDefault="00565A34" w:rsidP="00565A34">
            <w:pPr>
              <w:rPr>
                <w:rStyle w:val="fulltext"/>
                <w:rFonts w:cstheme="minorHAnsi"/>
                <w:b/>
                <w:sz w:val="16"/>
                <w:szCs w:val="16"/>
              </w:rPr>
            </w:pPr>
          </w:p>
          <w:p w:rsidR="00565A34" w:rsidRPr="00A96B00" w:rsidRDefault="00565A34" w:rsidP="00565A34">
            <w:pPr>
              <w:rPr>
                <w:rFonts w:cstheme="minorHAnsi"/>
                <w:b/>
                <w:sz w:val="16"/>
                <w:szCs w:val="16"/>
              </w:rPr>
            </w:pPr>
            <w:r w:rsidRPr="00A96B00">
              <w:rPr>
                <w:rStyle w:val="fulltext"/>
                <w:rFonts w:cstheme="minorHAnsi"/>
                <w:b/>
                <w:sz w:val="16"/>
                <w:szCs w:val="16"/>
              </w:rPr>
              <w:t>The bill was signed into law as Public Act 264 by Republican Gov. Rick Snyder on December 26, 2013</w:t>
            </w:r>
            <w:r w:rsidR="009C2B93">
              <w:rPr>
                <w:rStyle w:val="fulltext"/>
                <w:rFonts w:cstheme="minorHAnsi"/>
                <w:b/>
                <w:sz w:val="16"/>
                <w:szCs w:val="16"/>
              </w:rPr>
              <w:t xml:space="preserve"> and became immediately effective</w:t>
            </w:r>
            <w:r w:rsidRPr="00A96B00">
              <w:rPr>
                <w:rStyle w:val="fulltext"/>
                <w:rFonts w:cstheme="minorHAnsi"/>
                <w:b/>
                <w:sz w:val="16"/>
                <w:szCs w:val="16"/>
              </w:rPr>
              <w:t>.</w:t>
            </w:r>
          </w:p>
        </w:tc>
        <w:tc>
          <w:tcPr>
            <w:tcW w:w="1170" w:type="dxa"/>
            <w:gridSpan w:val="2"/>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Yes</w:t>
            </w:r>
          </w:p>
        </w:tc>
        <w:tc>
          <w:tcPr>
            <w:tcW w:w="1057" w:type="dxa"/>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$1 million; $2 million if audited</w:t>
            </w:r>
          </w:p>
        </w:tc>
        <w:tc>
          <w:tcPr>
            <w:tcW w:w="1013" w:type="dxa"/>
            <w:gridSpan w:val="2"/>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$10,000 unless accredited</w:t>
            </w:r>
          </w:p>
        </w:tc>
        <w:tc>
          <w:tcPr>
            <w:tcW w:w="1417" w:type="dxa"/>
          </w:tcPr>
          <w:p w:rsidR="00565A34" w:rsidRPr="000D7FA9" w:rsidRDefault="00565A34" w:rsidP="00565A34">
            <w:pPr>
              <w:jc w:val="center"/>
              <w:rPr>
                <w:rFonts w:cstheme="minorHAnsi"/>
                <w:sz w:val="16"/>
                <w:szCs w:val="16"/>
              </w:rPr>
            </w:pPr>
          </w:p>
          <w:p w:rsidR="00565A34"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No (unless BD)</w:t>
            </w:r>
          </w:p>
        </w:tc>
        <w:tc>
          <w:tcPr>
            <w:tcW w:w="1463" w:type="dxa"/>
            <w:gridSpan w:val="2"/>
          </w:tcPr>
          <w:p w:rsidR="00565A34" w:rsidRPr="000D7FA9" w:rsidRDefault="00565A34" w:rsidP="00565A34">
            <w:pPr>
              <w:jc w:val="center"/>
              <w:rPr>
                <w:rFonts w:cstheme="minorHAnsi"/>
                <w:sz w:val="16"/>
                <w:szCs w:val="16"/>
              </w:rPr>
            </w:pPr>
          </w:p>
          <w:p w:rsidR="00565A34"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Notice filing (incl. disclosure doc)</w:t>
            </w:r>
          </w:p>
        </w:tc>
        <w:tc>
          <w:tcPr>
            <w:tcW w:w="697" w:type="dxa"/>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Yes</w:t>
            </w:r>
          </w:p>
        </w:tc>
        <w:tc>
          <w:tcPr>
            <w:tcW w:w="1170" w:type="dxa"/>
          </w:tcPr>
          <w:p w:rsidR="00565A34" w:rsidRPr="000D7FA9" w:rsidRDefault="00565A34" w:rsidP="00565A34">
            <w:pPr>
              <w:jc w:val="center"/>
              <w:rPr>
                <w:rFonts w:cstheme="minorHAnsi"/>
                <w:sz w:val="16"/>
                <w:szCs w:val="16"/>
              </w:rPr>
            </w:pPr>
            <w:r w:rsidRPr="000D7FA9">
              <w:rPr>
                <w:rFonts w:cstheme="minorHAnsi"/>
                <w:sz w:val="16"/>
                <w:szCs w:val="16"/>
              </w:rPr>
              <w:t>Yes (MI-qualified platforms only, and light registration)</w:t>
            </w:r>
          </w:p>
        </w:tc>
        <w:tc>
          <w:tcPr>
            <w:tcW w:w="1170" w:type="dxa"/>
          </w:tcPr>
          <w:p w:rsidR="00565A34" w:rsidRPr="000D7FA9" w:rsidRDefault="00565A34" w:rsidP="00565A34">
            <w:pPr>
              <w:jc w:val="center"/>
              <w:rPr>
                <w:rFonts w:cstheme="minorHAnsi"/>
                <w:sz w:val="16"/>
                <w:szCs w:val="16"/>
              </w:rPr>
            </w:pPr>
            <w:r w:rsidRPr="000D7FA9">
              <w:rPr>
                <w:rFonts w:cstheme="minorHAnsi"/>
                <w:sz w:val="16"/>
                <w:szCs w:val="16"/>
              </w:rPr>
              <w:t>Yes – basic quarterly reports to investors</w:t>
            </w:r>
          </w:p>
        </w:tc>
        <w:tc>
          <w:tcPr>
            <w:tcW w:w="1283" w:type="dxa"/>
          </w:tcPr>
          <w:p w:rsidR="00565A34" w:rsidRPr="000D7FA9" w:rsidRDefault="00565A34" w:rsidP="00565A34">
            <w:pPr>
              <w:jc w:val="center"/>
              <w:rPr>
                <w:rStyle w:val="fulltext"/>
                <w:rFonts w:cstheme="minorHAnsi"/>
                <w:sz w:val="16"/>
                <w:szCs w:val="16"/>
              </w:rPr>
            </w:pPr>
          </w:p>
        </w:tc>
      </w:tr>
      <w:tr w:rsidR="00565A34" w:rsidRPr="000D7FA9" w:rsidTr="00A011E0">
        <w:trPr>
          <w:cantSplit/>
          <w:trHeight w:val="521"/>
          <w:jc w:val="center"/>
        </w:trPr>
        <w:tc>
          <w:tcPr>
            <w:tcW w:w="1075" w:type="dxa"/>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Minnesota</w:t>
            </w:r>
          </w:p>
        </w:tc>
        <w:tc>
          <w:tcPr>
            <w:tcW w:w="1193" w:type="dxa"/>
          </w:tcPr>
          <w:p w:rsidR="00565A34" w:rsidRPr="000D7FA9" w:rsidRDefault="00565A34" w:rsidP="00565A34">
            <w:pPr>
              <w:jc w:val="center"/>
              <w:rPr>
                <w:rFonts w:cstheme="minorHAnsi"/>
                <w:sz w:val="16"/>
                <w:szCs w:val="16"/>
              </w:rPr>
            </w:pPr>
            <w:r w:rsidRPr="000D7FA9">
              <w:rPr>
                <w:rFonts w:cstheme="minorHAnsi"/>
                <w:bCs/>
                <w:sz w:val="16"/>
                <w:szCs w:val="16"/>
              </w:rPr>
              <w:t>HF 1243</w:t>
            </w:r>
            <w:r>
              <w:rPr>
                <w:rFonts w:cstheme="minorHAnsi"/>
                <w:bCs/>
                <w:sz w:val="16"/>
                <w:szCs w:val="16"/>
              </w:rPr>
              <w:t>/Chapter 106</w:t>
            </w:r>
          </w:p>
        </w:tc>
        <w:tc>
          <w:tcPr>
            <w:tcW w:w="3060" w:type="dxa"/>
          </w:tcPr>
          <w:p w:rsidR="00565A34" w:rsidRPr="00A96B00" w:rsidRDefault="00565A34" w:rsidP="00565A34">
            <w:pPr>
              <w:rPr>
                <w:rFonts w:cstheme="minorHAnsi"/>
                <w:b/>
                <w:sz w:val="16"/>
                <w:szCs w:val="16"/>
              </w:rPr>
            </w:pPr>
            <w:r w:rsidRPr="00A96B00">
              <w:rPr>
                <w:rFonts w:cstheme="minorHAnsi"/>
                <w:b/>
                <w:sz w:val="16"/>
                <w:szCs w:val="16"/>
              </w:rPr>
              <w:t>The bill was signed into law by Democratic Gov. Mark Dayton on May 24, 2013.</w:t>
            </w:r>
          </w:p>
        </w:tc>
        <w:tc>
          <w:tcPr>
            <w:tcW w:w="10440" w:type="dxa"/>
            <w:gridSpan w:val="12"/>
          </w:tcPr>
          <w:p w:rsidR="00565A34" w:rsidRPr="000D7FA9" w:rsidRDefault="00565A34" w:rsidP="00565A34">
            <w:pPr>
              <w:rPr>
                <w:rFonts w:cstheme="minorHAnsi"/>
                <w:i/>
                <w:sz w:val="16"/>
                <w:szCs w:val="16"/>
              </w:rPr>
            </w:pPr>
          </w:p>
          <w:p w:rsidR="00565A34" w:rsidRPr="000D7FA9" w:rsidRDefault="00565A34" w:rsidP="00565A34">
            <w:pPr>
              <w:rPr>
                <w:rFonts w:cstheme="minorHAnsi"/>
                <w:i/>
                <w:sz w:val="16"/>
                <w:szCs w:val="16"/>
              </w:rPr>
            </w:pPr>
            <w:r w:rsidRPr="000D7FA9">
              <w:rPr>
                <w:rFonts w:cstheme="minorHAnsi"/>
                <w:i/>
                <w:sz w:val="16"/>
                <w:szCs w:val="16"/>
              </w:rPr>
              <w:t xml:space="preserve">This bill is </w:t>
            </w:r>
            <w:r w:rsidRPr="00A96B00">
              <w:rPr>
                <w:rFonts w:cstheme="minorHAnsi"/>
                <w:i/>
                <w:sz w:val="16"/>
                <w:szCs w:val="16"/>
                <w:u w:val="single"/>
              </w:rPr>
              <w:t>tied to the federal crowdfunding exemption</w:t>
            </w:r>
            <w:r w:rsidRPr="000D7FA9">
              <w:rPr>
                <w:rFonts w:cstheme="minorHAnsi"/>
                <w:i/>
                <w:sz w:val="16"/>
                <w:szCs w:val="16"/>
              </w:rPr>
              <w:t xml:space="preserve"> and provides that the home state of the federally registered funding portal can require registration.</w:t>
            </w:r>
          </w:p>
        </w:tc>
      </w:tr>
      <w:tr w:rsidR="00565A34" w:rsidRPr="000D7FA9" w:rsidTr="00174AA1">
        <w:trPr>
          <w:cantSplit/>
          <w:trHeight w:val="512"/>
          <w:jc w:val="center"/>
        </w:trPr>
        <w:tc>
          <w:tcPr>
            <w:tcW w:w="1075" w:type="dxa"/>
          </w:tcPr>
          <w:p w:rsidR="00565A34" w:rsidRPr="00AA240C" w:rsidRDefault="00565A34" w:rsidP="00565A34">
            <w:pPr>
              <w:jc w:val="center"/>
              <w:rPr>
                <w:rFonts w:cstheme="minorHAnsi"/>
                <w:sz w:val="16"/>
                <w:szCs w:val="16"/>
              </w:rPr>
            </w:pPr>
          </w:p>
          <w:p w:rsidR="00565A34" w:rsidRDefault="00565A34" w:rsidP="00565A34">
            <w:pPr>
              <w:jc w:val="center"/>
              <w:rPr>
                <w:rFonts w:cstheme="minorHAnsi"/>
                <w:sz w:val="16"/>
                <w:szCs w:val="16"/>
              </w:rPr>
            </w:pPr>
          </w:p>
          <w:p w:rsidR="00565A34" w:rsidRPr="00AA240C" w:rsidRDefault="00565A34" w:rsidP="00565A34">
            <w:pPr>
              <w:jc w:val="center"/>
              <w:rPr>
                <w:rFonts w:cstheme="minorHAnsi"/>
                <w:sz w:val="16"/>
                <w:szCs w:val="16"/>
              </w:rPr>
            </w:pPr>
            <w:r w:rsidRPr="00AA240C">
              <w:rPr>
                <w:rFonts w:cstheme="minorHAnsi"/>
                <w:sz w:val="16"/>
                <w:szCs w:val="16"/>
              </w:rPr>
              <w:t>Mississippi</w:t>
            </w:r>
          </w:p>
        </w:tc>
        <w:tc>
          <w:tcPr>
            <w:tcW w:w="1193" w:type="dxa"/>
          </w:tcPr>
          <w:p w:rsidR="00565A34" w:rsidRPr="00AA240C" w:rsidRDefault="00565A34" w:rsidP="00565A34">
            <w:pPr>
              <w:jc w:val="center"/>
              <w:rPr>
                <w:rFonts w:cstheme="minorHAnsi"/>
                <w:bCs/>
                <w:sz w:val="16"/>
                <w:szCs w:val="16"/>
              </w:rPr>
            </w:pPr>
          </w:p>
          <w:p w:rsidR="00565A34" w:rsidRDefault="00565A34" w:rsidP="00565A34">
            <w:pPr>
              <w:jc w:val="center"/>
              <w:rPr>
                <w:rFonts w:cstheme="minorHAnsi"/>
                <w:bCs/>
                <w:sz w:val="16"/>
                <w:szCs w:val="16"/>
              </w:rPr>
            </w:pPr>
          </w:p>
          <w:p w:rsidR="00565A34" w:rsidRPr="00AA240C" w:rsidRDefault="00565A34" w:rsidP="00565A34">
            <w:pPr>
              <w:jc w:val="center"/>
              <w:rPr>
                <w:rFonts w:cstheme="minorHAnsi"/>
                <w:bCs/>
                <w:sz w:val="16"/>
                <w:szCs w:val="16"/>
              </w:rPr>
            </w:pPr>
            <w:r w:rsidRPr="00AA240C">
              <w:rPr>
                <w:rFonts w:cstheme="minorHAnsi"/>
                <w:bCs/>
                <w:sz w:val="16"/>
                <w:szCs w:val="16"/>
              </w:rPr>
              <w:t>SB 2685</w:t>
            </w:r>
          </w:p>
        </w:tc>
        <w:tc>
          <w:tcPr>
            <w:tcW w:w="3060" w:type="dxa"/>
          </w:tcPr>
          <w:p w:rsidR="00565A34" w:rsidRPr="00AA240C" w:rsidRDefault="00565A34" w:rsidP="00565A34">
            <w:pPr>
              <w:rPr>
                <w:rFonts w:cstheme="minorHAnsi"/>
                <w:sz w:val="16"/>
                <w:szCs w:val="16"/>
              </w:rPr>
            </w:pPr>
            <w:r w:rsidRPr="00AA240C">
              <w:rPr>
                <w:rFonts w:cstheme="minorHAnsi"/>
                <w:sz w:val="16"/>
                <w:szCs w:val="16"/>
              </w:rPr>
              <w:t xml:space="preserve">The bill was introduced and referred to the Senate Committee on Business and Financial Institutions on January 20, 2014.  The bill was approved and passed out of the Committee on January 30.  </w:t>
            </w:r>
            <w:r w:rsidRPr="00A96B00">
              <w:rPr>
                <w:rFonts w:cstheme="minorHAnsi"/>
                <w:sz w:val="16"/>
                <w:szCs w:val="16"/>
                <w:u w:val="single"/>
              </w:rPr>
              <w:t>The bill died in Committee on February 11.</w:t>
            </w:r>
          </w:p>
        </w:tc>
        <w:tc>
          <w:tcPr>
            <w:tcW w:w="1170" w:type="dxa"/>
            <w:gridSpan w:val="2"/>
          </w:tcPr>
          <w:p w:rsidR="00565A34" w:rsidRPr="00AA240C" w:rsidRDefault="00565A34" w:rsidP="00565A34">
            <w:pPr>
              <w:jc w:val="center"/>
              <w:rPr>
                <w:rFonts w:cstheme="minorHAnsi"/>
                <w:sz w:val="16"/>
                <w:szCs w:val="16"/>
              </w:rPr>
            </w:pPr>
          </w:p>
          <w:p w:rsidR="00565A34" w:rsidRDefault="00565A34" w:rsidP="00565A34">
            <w:pPr>
              <w:jc w:val="center"/>
              <w:rPr>
                <w:rFonts w:cstheme="minorHAnsi"/>
                <w:sz w:val="16"/>
                <w:szCs w:val="16"/>
              </w:rPr>
            </w:pPr>
          </w:p>
          <w:p w:rsidR="00565A34" w:rsidRPr="00AA240C" w:rsidRDefault="00565A34" w:rsidP="00565A34">
            <w:pPr>
              <w:jc w:val="center"/>
              <w:rPr>
                <w:rFonts w:cstheme="minorHAnsi"/>
                <w:sz w:val="16"/>
                <w:szCs w:val="16"/>
              </w:rPr>
            </w:pPr>
            <w:r w:rsidRPr="00AA240C">
              <w:rPr>
                <w:rFonts w:cstheme="minorHAnsi"/>
                <w:sz w:val="16"/>
                <w:szCs w:val="16"/>
              </w:rPr>
              <w:t>Yes</w:t>
            </w:r>
          </w:p>
        </w:tc>
        <w:tc>
          <w:tcPr>
            <w:tcW w:w="1057" w:type="dxa"/>
            <w:vAlign w:val="center"/>
          </w:tcPr>
          <w:p w:rsidR="00565A34" w:rsidRPr="00AA240C" w:rsidRDefault="00565A34" w:rsidP="00565A34">
            <w:pPr>
              <w:jc w:val="center"/>
              <w:rPr>
                <w:rFonts w:cstheme="minorHAnsi"/>
                <w:sz w:val="16"/>
                <w:szCs w:val="16"/>
              </w:rPr>
            </w:pPr>
            <w:r w:rsidRPr="00AA240C">
              <w:rPr>
                <w:rFonts w:cstheme="minorHAnsi"/>
                <w:sz w:val="16"/>
                <w:szCs w:val="16"/>
              </w:rPr>
              <w:t>$1 million; $2 million if audited</w:t>
            </w:r>
          </w:p>
        </w:tc>
        <w:tc>
          <w:tcPr>
            <w:tcW w:w="1013" w:type="dxa"/>
            <w:gridSpan w:val="2"/>
          </w:tcPr>
          <w:p w:rsidR="00565A34" w:rsidRPr="00AA240C" w:rsidRDefault="00565A34" w:rsidP="00565A34">
            <w:pPr>
              <w:jc w:val="center"/>
              <w:rPr>
                <w:rFonts w:cstheme="minorHAnsi"/>
                <w:sz w:val="16"/>
                <w:szCs w:val="16"/>
              </w:rPr>
            </w:pPr>
          </w:p>
          <w:p w:rsidR="00565A34" w:rsidRDefault="00565A34" w:rsidP="00565A34">
            <w:pPr>
              <w:jc w:val="center"/>
              <w:rPr>
                <w:rFonts w:cstheme="minorHAnsi"/>
                <w:sz w:val="16"/>
                <w:szCs w:val="16"/>
              </w:rPr>
            </w:pPr>
          </w:p>
          <w:p w:rsidR="00565A34" w:rsidRPr="00AA240C" w:rsidRDefault="00565A34" w:rsidP="00565A34">
            <w:pPr>
              <w:jc w:val="center"/>
              <w:rPr>
                <w:rFonts w:cstheme="minorHAnsi"/>
                <w:sz w:val="16"/>
                <w:szCs w:val="16"/>
              </w:rPr>
            </w:pPr>
            <w:r w:rsidRPr="00AA240C">
              <w:rPr>
                <w:rFonts w:cstheme="minorHAnsi"/>
                <w:sz w:val="16"/>
                <w:szCs w:val="16"/>
              </w:rPr>
              <w:t>$2,000</w:t>
            </w:r>
          </w:p>
        </w:tc>
        <w:tc>
          <w:tcPr>
            <w:tcW w:w="1417" w:type="dxa"/>
            <w:vAlign w:val="center"/>
          </w:tcPr>
          <w:p w:rsidR="00565A34" w:rsidRPr="00AA240C" w:rsidRDefault="00565A34" w:rsidP="00565A34">
            <w:pPr>
              <w:jc w:val="center"/>
              <w:rPr>
                <w:rFonts w:cstheme="minorHAnsi"/>
                <w:sz w:val="16"/>
                <w:szCs w:val="16"/>
              </w:rPr>
            </w:pPr>
            <w:r w:rsidRPr="00AA240C">
              <w:rPr>
                <w:rFonts w:cstheme="minorHAnsi"/>
                <w:sz w:val="16"/>
                <w:szCs w:val="16"/>
              </w:rPr>
              <w:t>No (unless BD)</w:t>
            </w:r>
          </w:p>
        </w:tc>
        <w:tc>
          <w:tcPr>
            <w:tcW w:w="1463" w:type="dxa"/>
            <w:gridSpan w:val="2"/>
            <w:vAlign w:val="center"/>
          </w:tcPr>
          <w:p w:rsidR="00565A34" w:rsidRPr="00AA240C" w:rsidRDefault="00565A34" w:rsidP="00565A34">
            <w:pPr>
              <w:jc w:val="center"/>
              <w:rPr>
                <w:rFonts w:cstheme="minorHAnsi"/>
                <w:sz w:val="16"/>
                <w:szCs w:val="16"/>
              </w:rPr>
            </w:pPr>
            <w:r w:rsidRPr="00AA240C">
              <w:rPr>
                <w:rFonts w:cstheme="minorHAnsi"/>
                <w:sz w:val="16"/>
                <w:szCs w:val="16"/>
              </w:rPr>
              <w:t>Notice filing (incl. disclosure doc)</w:t>
            </w:r>
          </w:p>
        </w:tc>
        <w:tc>
          <w:tcPr>
            <w:tcW w:w="697" w:type="dxa"/>
          </w:tcPr>
          <w:p w:rsidR="00565A34" w:rsidRPr="00AA240C" w:rsidRDefault="00565A34" w:rsidP="00565A34">
            <w:pPr>
              <w:jc w:val="center"/>
              <w:rPr>
                <w:rFonts w:cstheme="minorHAnsi"/>
                <w:sz w:val="16"/>
                <w:szCs w:val="16"/>
              </w:rPr>
            </w:pPr>
          </w:p>
          <w:p w:rsidR="00565A34" w:rsidRDefault="00565A34" w:rsidP="00565A34">
            <w:pPr>
              <w:jc w:val="center"/>
              <w:rPr>
                <w:rFonts w:cstheme="minorHAnsi"/>
                <w:sz w:val="16"/>
                <w:szCs w:val="16"/>
              </w:rPr>
            </w:pPr>
          </w:p>
          <w:p w:rsidR="00565A34" w:rsidRPr="00AA240C" w:rsidRDefault="00565A34" w:rsidP="00565A34">
            <w:pPr>
              <w:jc w:val="center"/>
              <w:rPr>
                <w:rFonts w:cstheme="minorHAnsi"/>
                <w:sz w:val="16"/>
                <w:szCs w:val="16"/>
              </w:rPr>
            </w:pPr>
            <w:r w:rsidRPr="00AA240C">
              <w:rPr>
                <w:rFonts w:cstheme="minorHAnsi"/>
                <w:sz w:val="16"/>
                <w:szCs w:val="16"/>
              </w:rPr>
              <w:t>Yes</w:t>
            </w:r>
          </w:p>
        </w:tc>
        <w:tc>
          <w:tcPr>
            <w:tcW w:w="1170" w:type="dxa"/>
            <w:vAlign w:val="center"/>
          </w:tcPr>
          <w:p w:rsidR="00565A34" w:rsidRPr="00AA240C" w:rsidRDefault="00565A34" w:rsidP="00565A34">
            <w:pPr>
              <w:jc w:val="center"/>
              <w:rPr>
                <w:rFonts w:cstheme="minorHAnsi"/>
                <w:sz w:val="16"/>
                <w:szCs w:val="16"/>
              </w:rPr>
            </w:pPr>
            <w:r w:rsidRPr="00AA240C">
              <w:rPr>
                <w:rFonts w:cstheme="minorHAnsi"/>
                <w:sz w:val="16"/>
                <w:szCs w:val="16"/>
              </w:rPr>
              <w:t>Yes (MS-based</w:t>
            </w:r>
            <w:r w:rsidR="0045754C">
              <w:rPr>
                <w:rFonts w:cstheme="minorHAnsi"/>
                <w:sz w:val="16"/>
                <w:szCs w:val="16"/>
              </w:rPr>
              <w:t xml:space="preserve"> platforms </w:t>
            </w:r>
            <w:r w:rsidRPr="00AA240C">
              <w:rPr>
                <w:rFonts w:cstheme="minorHAnsi"/>
                <w:sz w:val="16"/>
                <w:szCs w:val="16"/>
              </w:rPr>
              <w:t>only, and light registration)</w:t>
            </w:r>
          </w:p>
        </w:tc>
        <w:tc>
          <w:tcPr>
            <w:tcW w:w="1170" w:type="dxa"/>
          </w:tcPr>
          <w:p w:rsidR="00565A34" w:rsidRDefault="00565A34" w:rsidP="00565A34">
            <w:pPr>
              <w:jc w:val="center"/>
              <w:rPr>
                <w:rFonts w:cstheme="minorHAnsi"/>
                <w:sz w:val="16"/>
                <w:szCs w:val="16"/>
              </w:rPr>
            </w:pPr>
          </w:p>
          <w:p w:rsidR="00565A34" w:rsidRPr="00AA240C" w:rsidRDefault="00565A34" w:rsidP="00565A34">
            <w:pPr>
              <w:jc w:val="center"/>
              <w:rPr>
                <w:rFonts w:cstheme="minorHAnsi"/>
                <w:sz w:val="16"/>
                <w:szCs w:val="16"/>
              </w:rPr>
            </w:pPr>
            <w:r w:rsidRPr="00AA240C">
              <w:rPr>
                <w:rFonts w:cstheme="minorHAnsi"/>
                <w:sz w:val="16"/>
                <w:szCs w:val="16"/>
              </w:rPr>
              <w:t>Yes-quarterly report to investors</w:t>
            </w:r>
          </w:p>
        </w:tc>
        <w:tc>
          <w:tcPr>
            <w:tcW w:w="1283" w:type="dxa"/>
          </w:tcPr>
          <w:p w:rsidR="00565A34" w:rsidRPr="00AA240C" w:rsidRDefault="00565A34" w:rsidP="00565A34">
            <w:pPr>
              <w:jc w:val="center"/>
              <w:rPr>
                <w:rFonts w:cstheme="minorHAnsi"/>
                <w:sz w:val="16"/>
                <w:szCs w:val="16"/>
              </w:rPr>
            </w:pPr>
          </w:p>
        </w:tc>
      </w:tr>
      <w:tr w:rsidR="00565A34" w:rsidRPr="000D7FA9" w:rsidTr="00174AA1">
        <w:trPr>
          <w:cantSplit/>
          <w:trHeight w:val="764"/>
          <w:jc w:val="center"/>
        </w:trPr>
        <w:tc>
          <w:tcPr>
            <w:tcW w:w="1075" w:type="dxa"/>
          </w:tcPr>
          <w:p w:rsidR="00565A34" w:rsidRPr="00AA240C" w:rsidRDefault="00565A34" w:rsidP="00565A34">
            <w:pPr>
              <w:rPr>
                <w:rFonts w:cstheme="minorHAnsi"/>
                <w:sz w:val="16"/>
                <w:szCs w:val="16"/>
              </w:rPr>
            </w:pPr>
          </w:p>
          <w:p w:rsidR="00565A34" w:rsidRDefault="00565A34" w:rsidP="00565A34">
            <w:pPr>
              <w:jc w:val="center"/>
              <w:rPr>
                <w:rFonts w:cstheme="minorHAnsi"/>
                <w:sz w:val="16"/>
                <w:szCs w:val="16"/>
              </w:rPr>
            </w:pPr>
          </w:p>
          <w:p w:rsidR="00565A34" w:rsidRPr="00AA240C" w:rsidRDefault="00565A34" w:rsidP="00565A34">
            <w:pPr>
              <w:jc w:val="center"/>
              <w:rPr>
                <w:rFonts w:cstheme="minorHAnsi"/>
                <w:sz w:val="16"/>
                <w:szCs w:val="16"/>
              </w:rPr>
            </w:pPr>
            <w:r w:rsidRPr="00AA240C">
              <w:rPr>
                <w:rFonts w:cstheme="minorHAnsi"/>
                <w:sz w:val="16"/>
                <w:szCs w:val="16"/>
              </w:rPr>
              <w:t>Missouri</w:t>
            </w:r>
          </w:p>
        </w:tc>
        <w:tc>
          <w:tcPr>
            <w:tcW w:w="1193" w:type="dxa"/>
          </w:tcPr>
          <w:p w:rsidR="00565A34" w:rsidRPr="00AA240C" w:rsidRDefault="00565A34" w:rsidP="00565A34">
            <w:pPr>
              <w:jc w:val="center"/>
              <w:rPr>
                <w:rFonts w:cstheme="minorHAnsi"/>
                <w:bCs/>
                <w:sz w:val="16"/>
                <w:szCs w:val="16"/>
              </w:rPr>
            </w:pPr>
          </w:p>
          <w:p w:rsidR="00565A34" w:rsidRDefault="00565A34" w:rsidP="00565A34">
            <w:pPr>
              <w:jc w:val="center"/>
              <w:rPr>
                <w:rFonts w:cstheme="minorHAnsi"/>
                <w:bCs/>
                <w:sz w:val="16"/>
                <w:szCs w:val="16"/>
              </w:rPr>
            </w:pPr>
          </w:p>
          <w:p w:rsidR="00565A34" w:rsidRPr="00AA240C" w:rsidRDefault="00565A34" w:rsidP="00565A34">
            <w:pPr>
              <w:jc w:val="center"/>
              <w:rPr>
                <w:rFonts w:cstheme="minorHAnsi"/>
                <w:bCs/>
                <w:sz w:val="16"/>
                <w:szCs w:val="16"/>
              </w:rPr>
            </w:pPr>
            <w:r w:rsidRPr="00AA240C">
              <w:rPr>
                <w:rFonts w:cstheme="minorHAnsi"/>
                <w:bCs/>
                <w:sz w:val="16"/>
                <w:szCs w:val="16"/>
              </w:rPr>
              <w:t>HB 1736*</w:t>
            </w:r>
          </w:p>
        </w:tc>
        <w:tc>
          <w:tcPr>
            <w:tcW w:w="3060" w:type="dxa"/>
          </w:tcPr>
          <w:p w:rsidR="00565A34" w:rsidRPr="00AA240C" w:rsidRDefault="00565A34" w:rsidP="00565A34">
            <w:pPr>
              <w:rPr>
                <w:rFonts w:cstheme="minorHAnsi"/>
                <w:sz w:val="16"/>
                <w:szCs w:val="16"/>
              </w:rPr>
            </w:pPr>
            <w:r w:rsidRPr="00AA240C">
              <w:rPr>
                <w:rFonts w:cstheme="minorHAnsi"/>
                <w:sz w:val="16"/>
                <w:szCs w:val="16"/>
              </w:rPr>
              <w:t>The bill was introduced and read for the first time on February 5</w:t>
            </w:r>
            <w:r>
              <w:rPr>
                <w:rFonts w:cstheme="minorHAnsi"/>
                <w:sz w:val="16"/>
                <w:szCs w:val="16"/>
              </w:rPr>
              <w:t>, 2014</w:t>
            </w:r>
            <w:r w:rsidRPr="00AA240C">
              <w:rPr>
                <w:rFonts w:cstheme="minorHAnsi"/>
                <w:sz w:val="16"/>
                <w:szCs w:val="16"/>
              </w:rPr>
              <w:t xml:space="preserve"> and was referred to the House Financial Institutions Committee on Feb. 12.</w:t>
            </w:r>
            <w:r>
              <w:rPr>
                <w:rFonts w:cstheme="minorHAnsi"/>
                <w:sz w:val="16"/>
                <w:szCs w:val="16"/>
              </w:rPr>
              <w:t xml:space="preserve">  On March 26, a public hearing in the House was held on the bill.</w:t>
            </w:r>
          </w:p>
        </w:tc>
        <w:tc>
          <w:tcPr>
            <w:tcW w:w="1170" w:type="dxa"/>
            <w:gridSpan w:val="2"/>
          </w:tcPr>
          <w:p w:rsidR="00565A34" w:rsidRPr="00AA240C" w:rsidRDefault="00565A34" w:rsidP="00565A34">
            <w:pPr>
              <w:jc w:val="center"/>
              <w:rPr>
                <w:rFonts w:cstheme="minorHAnsi"/>
                <w:sz w:val="16"/>
                <w:szCs w:val="16"/>
              </w:rPr>
            </w:pPr>
          </w:p>
          <w:p w:rsidR="00565A34" w:rsidRDefault="00565A34" w:rsidP="00565A34">
            <w:pPr>
              <w:jc w:val="center"/>
              <w:rPr>
                <w:rFonts w:cstheme="minorHAnsi"/>
                <w:sz w:val="16"/>
                <w:szCs w:val="16"/>
              </w:rPr>
            </w:pPr>
          </w:p>
          <w:p w:rsidR="00565A34" w:rsidRPr="00AA240C" w:rsidRDefault="00565A34" w:rsidP="00565A34">
            <w:pPr>
              <w:jc w:val="center"/>
              <w:rPr>
                <w:rFonts w:cstheme="minorHAnsi"/>
                <w:sz w:val="16"/>
                <w:szCs w:val="16"/>
              </w:rPr>
            </w:pPr>
            <w:r w:rsidRPr="00AA240C">
              <w:rPr>
                <w:rFonts w:cstheme="minorHAnsi"/>
                <w:sz w:val="16"/>
                <w:szCs w:val="16"/>
              </w:rPr>
              <w:t>Yes</w:t>
            </w:r>
          </w:p>
        </w:tc>
        <w:tc>
          <w:tcPr>
            <w:tcW w:w="1057" w:type="dxa"/>
          </w:tcPr>
          <w:p w:rsidR="00565A34" w:rsidRPr="00AA240C" w:rsidRDefault="00565A34" w:rsidP="00565A34">
            <w:pPr>
              <w:jc w:val="center"/>
              <w:rPr>
                <w:rFonts w:cstheme="minorHAnsi"/>
                <w:sz w:val="16"/>
                <w:szCs w:val="16"/>
              </w:rPr>
            </w:pPr>
          </w:p>
          <w:p w:rsidR="00565A34" w:rsidRDefault="00565A34" w:rsidP="00565A34">
            <w:pPr>
              <w:jc w:val="center"/>
              <w:rPr>
                <w:rFonts w:cstheme="minorHAnsi"/>
                <w:sz w:val="16"/>
                <w:szCs w:val="16"/>
              </w:rPr>
            </w:pPr>
          </w:p>
          <w:p w:rsidR="00565A34" w:rsidRPr="00AA240C" w:rsidRDefault="00565A34" w:rsidP="00565A34">
            <w:pPr>
              <w:jc w:val="center"/>
              <w:rPr>
                <w:rFonts w:cstheme="minorHAnsi"/>
                <w:sz w:val="16"/>
                <w:szCs w:val="16"/>
              </w:rPr>
            </w:pPr>
            <w:r w:rsidRPr="00AA240C">
              <w:rPr>
                <w:rFonts w:cstheme="minorHAnsi"/>
                <w:sz w:val="16"/>
                <w:szCs w:val="16"/>
              </w:rPr>
              <w:t>$1 million</w:t>
            </w:r>
          </w:p>
        </w:tc>
        <w:tc>
          <w:tcPr>
            <w:tcW w:w="1013" w:type="dxa"/>
            <w:gridSpan w:val="2"/>
          </w:tcPr>
          <w:p w:rsidR="00565A34" w:rsidRPr="00AA240C" w:rsidRDefault="00565A34" w:rsidP="00565A34">
            <w:pPr>
              <w:rPr>
                <w:rFonts w:cstheme="minorHAnsi"/>
                <w:sz w:val="16"/>
                <w:szCs w:val="16"/>
              </w:rPr>
            </w:pPr>
          </w:p>
          <w:p w:rsidR="00565A34" w:rsidRPr="00AA240C" w:rsidRDefault="00565A34" w:rsidP="00565A34">
            <w:pPr>
              <w:jc w:val="center"/>
              <w:rPr>
                <w:rFonts w:cstheme="minorHAnsi"/>
                <w:sz w:val="16"/>
                <w:szCs w:val="16"/>
              </w:rPr>
            </w:pPr>
            <w:r w:rsidRPr="00AA240C">
              <w:rPr>
                <w:rFonts w:cstheme="minorHAnsi"/>
                <w:sz w:val="16"/>
                <w:szCs w:val="16"/>
              </w:rPr>
              <w:t>$1,000 unless accredited</w:t>
            </w:r>
          </w:p>
        </w:tc>
        <w:tc>
          <w:tcPr>
            <w:tcW w:w="1417" w:type="dxa"/>
          </w:tcPr>
          <w:p w:rsidR="00565A34" w:rsidRPr="00AA240C" w:rsidRDefault="00565A34" w:rsidP="00565A34">
            <w:pPr>
              <w:rPr>
                <w:rFonts w:cstheme="minorHAnsi"/>
                <w:sz w:val="16"/>
                <w:szCs w:val="16"/>
              </w:rPr>
            </w:pPr>
          </w:p>
          <w:p w:rsidR="00565A34" w:rsidRDefault="00565A34" w:rsidP="00565A34">
            <w:pPr>
              <w:jc w:val="center"/>
              <w:rPr>
                <w:rFonts w:cstheme="minorHAnsi"/>
                <w:sz w:val="16"/>
                <w:szCs w:val="16"/>
              </w:rPr>
            </w:pPr>
          </w:p>
          <w:p w:rsidR="00565A34" w:rsidRPr="00AA240C" w:rsidRDefault="00565A34" w:rsidP="00565A34">
            <w:pPr>
              <w:jc w:val="center"/>
              <w:rPr>
                <w:rFonts w:cstheme="minorHAnsi"/>
                <w:sz w:val="16"/>
                <w:szCs w:val="16"/>
              </w:rPr>
            </w:pPr>
            <w:r w:rsidRPr="00AA240C">
              <w:rPr>
                <w:rFonts w:cstheme="minorHAnsi"/>
                <w:sz w:val="16"/>
                <w:szCs w:val="16"/>
              </w:rPr>
              <w:t>No (unless BD)</w:t>
            </w:r>
          </w:p>
        </w:tc>
        <w:tc>
          <w:tcPr>
            <w:tcW w:w="1463" w:type="dxa"/>
            <w:gridSpan w:val="2"/>
          </w:tcPr>
          <w:p w:rsidR="00565A34" w:rsidRPr="00AA240C" w:rsidRDefault="00565A34" w:rsidP="00565A34">
            <w:pPr>
              <w:jc w:val="center"/>
              <w:rPr>
                <w:rFonts w:cstheme="minorHAnsi"/>
                <w:sz w:val="16"/>
                <w:szCs w:val="16"/>
              </w:rPr>
            </w:pPr>
          </w:p>
          <w:p w:rsidR="00565A34" w:rsidRDefault="00565A34" w:rsidP="00565A34">
            <w:pPr>
              <w:jc w:val="center"/>
              <w:rPr>
                <w:rFonts w:cstheme="minorHAnsi"/>
                <w:sz w:val="16"/>
                <w:szCs w:val="16"/>
              </w:rPr>
            </w:pPr>
          </w:p>
          <w:p w:rsidR="00565A34" w:rsidRPr="00AA240C" w:rsidRDefault="00565A34" w:rsidP="00565A34">
            <w:pPr>
              <w:jc w:val="center"/>
              <w:rPr>
                <w:rFonts w:cstheme="minorHAnsi"/>
                <w:sz w:val="16"/>
                <w:szCs w:val="16"/>
              </w:rPr>
            </w:pPr>
            <w:r w:rsidRPr="00AA240C">
              <w:rPr>
                <w:rFonts w:cstheme="minorHAnsi"/>
                <w:sz w:val="16"/>
                <w:szCs w:val="16"/>
              </w:rPr>
              <w:t>Notice filing</w:t>
            </w:r>
          </w:p>
        </w:tc>
        <w:tc>
          <w:tcPr>
            <w:tcW w:w="697" w:type="dxa"/>
          </w:tcPr>
          <w:p w:rsidR="00565A34" w:rsidRPr="00AA240C" w:rsidRDefault="00565A34" w:rsidP="00565A34">
            <w:pPr>
              <w:jc w:val="center"/>
              <w:rPr>
                <w:rFonts w:cstheme="minorHAnsi"/>
                <w:sz w:val="16"/>
                <w:szCs w:val="16"/>
              </w:rPr>
            </w:pPr>
          </w:p>
          <w:p w:rsidR="00565A34" w:rsidRDefault="00565A34" w:rsidP="00565A34">
            <w:pPr>
              <w:jc w:val="center"/>
              <w:rPr>
                <w:rFonts w:cstheme="minorHAnsi"/>
                <w:sz w:val="16"/>
                <w:szCs w:val="16"/>
              </w:rPr>
            </w:pPr>
          </w:p>
          <w:p w:rsidR="00565A34" w:rsidRPr="00AA240C" w:rsidRDefault="00565A34" w:rsidP="00565A34">
            <w:pPr>
              <w:jc w:val="center"/>
              <w:rPr>
                <w:rFonts w:cstheme="minorHAnsi"/>
                <w:sz w:val="16"/>
                <w:szCs w:val="16"/>
              </w:rPr>
            </w:pPr>
            <w:r w:rsidRPr="00AA240C">
              <w:rPr>
                <w:rFonts w:cstheme="minorHAnsi"/>
                <w:sz w:val="16"/>
                <w:szCs w:val="16"/>
              </w:rPr>
              <w:t>Yes</w:t>
            </w:r>
          </w:p>
        </w:tc>
        <w:tc>
          <w:tcPr>
            <w:tcW w:w="1170" w:type="dxa"/>
          </w:tcPr>
          <w:p w:rsidR="00565A34" w:rsidRPr="00AA240C" w:rsidRDefault="00565A34" w:rsidP="00565A34">
            <w:pPr>
              <w:jc w:val="center"/>
              <w:rPr>
                <w:rFonts w:cstheme="minorHAnsi"/>
                <w:sz w:val="16"/>
                <w:szCs w:val="16"/>
              </w:rPr>
            </w:pPr>
          </w:p>
        </w:tc>
        <w:tc>
          <w:tcPr>
            <w:tcW w:w="1170" w:type="dxa"/>
          </w:tcPr>
          <w:p w:rsidR="00565A34" w:rsidRPr="00AA240C" w:rsidRDefault="00565A34" w:rsidP="00565A34">
            <w:pPr>
              <w:jc w:val="center"/>
              <w:rPr>
                <w:rFonts w:cstheme="minorHAnsi"/>
                <w:sz w:val="16"/>
                <w:szCs w:val="16"/>
              </w:rPr>
            </w:pPr>
          </w:p>
        </w:tc>
        <w:tc>
          <w:tcPr>
            <w:tcW w:w="1283" w:type="dxa"/>
          </w:tcPr>
          <w:p w:rsidR="00565A34" w:rsidRPr="00AA240C" w:rsidRDefault="00565A34" w:rsidP="00565A34">
            <w:pPr>
              <w:jc w:val="center"/>
              <w:rPr>
                <w:rFonts w:cstheme="minorHAnsi"/>
                <w:sz w:val="16"/>
                <w:szCs w:val="16"/>
              </w:rPr>
            </w:pPr>
          </w:p>
          <w:p w:rsidR="00565A34" w:rsidRDefault="00565A34" w:rsidP="00565A34">
            <w:pPr>
              <w:jc w:val="center"/>
              <w:rPr>
                <w:rFonts w:cstheme="minorHAnsi"/>
                <w:sz w:val="16"/>
                <w:szCs w:val="16"/>
              </w:rPr>
            </w:pPr>
          </w:p>
          <w:p w:rsidR="00565A34" w:rsidRPr="00AA240C" w:rsidRDefault="00565A34" w:rsidP="00565A34">
            <w:pPr>
              <w:jc w:val="center"/>
              <w:rPr>
                <w:rFonts w:cstheme="minorHAnsi"/>
                <w:sz w:val="16"/>
                <w:szCs w:val="16"/>
              </w:rPr>
            </w:pPr>
            <w:r w:rsidRPr="00AA240C">
              <w:rPr>
                <w:rFonts w:cstheme="minorHAnsi"/>
                <w:sz w:val="16"/>
                <w:szCs w:val="16"/>
              </w:rPr>
              <w:t>Yes—25 sale exemption</w:t>
            </w:r>
          </w:p>
        </w:tc>
      </w:tr>
      <w:tr w:rsidR="00565A34" w:rsidRPr="000D7FA9" w:rsidTr="00A011E0">
        <w:trPr>
          <w:cantSplit/>
          <w:trHeight w:val="764"/>
          <w:jc w:val="center"/>
        </w:trPr>
        <w:tc>
          <w:tcPr>
            <w:tcW w:w="1075" w:type="dxa"/>
            <w:vAlign w:val="center"/>
          </w:tcPr>
          <w:p w:rsidR="00565A34" w:rsidRPr="00AA240C" w:rsidRDefault="00565A34" w:rsidP="00565A34">
            <w:pPr>
              <w:jc w:val="center"/>
              <w:rPr>
                <w:rFonts w:cstheme="minorHAnsi"/>
                <w:sz w:val="16"/>
                <w:szCs w:val="16"/>
              </w:rPr>
            </w:pPr>
            <w:r>
              <w:rPr>
                <w:rFonts w:cstheme="minorHAnsi"/>
                <w:sz w:val="16"/>
                <w:szCs w:val="16"/>
              </w:rPr>
              <w:t>Nebraska</w:t>
            </w:r>
          </w:p>
        </w:tc>
        <w:tc>
          <w:tcPr>
            <w:tcW w:w="1193" w:type="dxa"/>
            <w:vAlign w:val="center"/>
          </w:tcPr>
          <w:p w:rsidR="00565A34" w:rsidRPr="00AA240C" w:rsidRDefault="00565A34" w:rsidP="00565A34">
            <w:pPr>
              <w:jc w:val="center"/>
              <w:rPr>
                <w:rFonts w:cstheme="minorHAnsi"/>
                <w:bCs/>
                <w:sz w:val="16"/>
                <w:szCs w:val="16"/>
              </w:rPr>
            </w:pPr>
            <w:r w:rsidRPr="00B11769">
              <w:rPr>
                <w:rFonts w:cstheme="minorHAnsi"/>
                <w:sz w:val="16"/>
                <w:szCs w:val="16"/>
              </w:rPr>
              <w:t>LB 205 / Rev Stat. 8-1111(23</w:t>
            </w:r>
          </w:p>
        </w:tc>
        <w:tc>
          <w:tcPr>
            <w:tcW w:w="3060" w:type="dxa"/>
          </w:tcPr>
          <w:p w:rsidR="00565A34" w:rsidRPr="00B11769" w:rsidRDefault="00565A34" w:rsidP="00565A34">
            <w:pPr>
              <w:rPr>
                <w:rFonts w:cstheme="minorHAnsi"/>
                <w:b/>
                <w:sz w:val="16"/>
                <w:szCs w:val="16"/>
              </w:rPr>
            </w:pPr>
            <w:r>
              <w:rPr>
                <w:rFonts w:cstheme="minorHAnsi"/>
                <w:b/>
                <w:sz w:val="16"/>
                <w:szCs w:val="16"/>
              </w:rPr>
              <w:t>On May 8, 2013 Nebraska</w:t>
            </w:r>
            <w:r w:rsidRPr="00B11769">
              <w:rPr>
                <w:rFonts w:cstheme="minorHAnsi"/>
                <w:b/>
                <w:sz w:val="16"/>
                <w:szCs w:val="16"/>
              </w:rPr>
              <w:t xml:space="preserve"> Governor, Dave </w:t>
            </w:r>
            <w:proofErr w:type="spellStart"/>
            <w:r w:rsidRPr="00B11769">
              <w:rPr>
                <w:rFonts w:cstheme="minorHAnsi"/>
                <w:b/>
                <w:sz w:val="16"/>
                <w:szCs w:val="16"/>
              </w:rPr>
              <w:t>Heineman</w:t>
            </w:r>
            <w:proofErr w:type="spellEnd"/>
            <w:r w:rsidRPr="00B11769">
              <w:rPr>
                <w:rFonts w:cstheme="minorHAnsi"/>
                <w:b/>
                <w:sz w:val="16"/>
                <w:szCs w:val="16"/>
              </w:rPr>
              <w:t>, signed into law LB 205 / Rev Stat. 8-1111(23).</w:t>
            </w:r>
          </w:p>
        </w:tc>
        <w:tc>
          <w:tcPr>
            <w:tcW w:w="10440" w:type="dxa"/>
            <w:gridSpan w:val="12"/>
          </w:tcPr>
          <w:p w:rsidR="00565A34" w:rsidRPr="00B11769" w:rsidRDefault="00565A34" w:rsidP="00565A34">
            <w:pPr>
              <w:rPr>
                <w:rFonts w:cstheme="minorHAnsi"/>
                <w:i/>
                <w:sz w:val="16"/>
                <w:szCs w:val="16"/>
              </w:rPr>
            </w:pPr>
            <w:r w:rsidRPr="00B11769">
              <w:rPr>
                <w:rFonts w:cs="Times New Roman"/>
                <w:i/>
                <w:sz w:val="16"/>
                <w:szCs w:val="16"/>
              </w:rPr>
              <w:t xml:space="preserve">This bill created a new exemption for the registration of securities that is tied to the federal intrastate offering exemption.  The exemption prohibits a "public offering” of securities and thus is distinct from </w:t>
            </w:r>
            <w:r>
              <w:rPr>
                <w:rFonts w:cs="Times New Roman"/>
                <w:i/>
                <w:sz w:val="16"/>
                <w:szCs w:val="16"/>
              </w:rPr>
              <w:t>crowdfunding bills</w:t>
            </w:r>
            <w:r w:rsidRPr="00B11769">
              <w:rPr>
                <w:rFonts w:cs="Times New Roman"/>
                <w:i/>
                <w:sz w:val="16"/>
                <w:szCs w:val="16"/>
              </w:rPr>
              <w:t>.  This new exemption allows issuers to raise up to $250,000 over a two-year period.  Only a registered broker-dealer can serve as an intermediary for the transactions, and the state requires a notice filing including a disclosure document.  Bad actor disqualifications apply.</w:t>
            </w:r>
          </w:p>
        </w:tc>
      </w:tr>
      <w:tr w:rsidR="00565A34" w:rsidRPr="000D7FA9" w:rsidTr="00174AA1">
        <w:trPr>
          <w:cantSplit/>
          <w:trHeight w:val="764"/>
          <w:jc w:val="center"/>
        </w:trPr>
        <w:tc>
          <w:tcPr>
            <w:tcW w:w="1075" w:type="dxa"/>
          </w:tcPr>
          <w:p w:rsidR="00565A34" w:rsidRDefault="00565A34" w:rsidP="00565A34">
            <w:pPr>
              <w:rPr>
                <w:rFonts w:cstheme="minorHAnsi"/>
                <w:sz w:val="16"/>
                <w:szCs w:val="16"/>
              </w:rPr>
            </w:pPr>
          </w:p>
          <w:p w:rsidR="0032498C" w:rsidRPr="000D7FA9" w:rsidRDefault="0032498C" w:rsidP="00565A34">
            <w:pPr>
              <w:rPr>
                <w:rFonts w:cstheme="minorHAnsi"/>
                <w:sz w:val="16"/>
                <w:szCs w:val="16"/>
              </w:rPr>
            </w:pPr>
          </w:p>
          <w:p w:rsidR="00565A34" w:rsidRPr="000D7FA9" w:rsidRDefault="00565A34" w:rsidP="00873F58">
            <w:pPr>
              <w:jc w:val="center"/>
              <w:rPr>
                <w:rFonts w:cstheme="minorHAnsi"/>
                <w:sz w:val="16"/>
                <w:szCs w:val="16"/>
              </w:rPr>
            </w:pPr>
            <w:r w:rsidRPr="000D7FA9">
              <w:rPr>
                <w:rFonts w:cstheme="minorHAnsi"/>
                <w:sz w:val="16"/>
                <w:szCs w:val="16"/>
              </w:rPr>
              <w:t>New Jersey</w:t>
            </w:r>
          </w:p>
        </w:tc>
        <w:tc>
          <w:tcPr>
            <w:tcW w:w="1193" w:type="dxa"/>
          </w:tcPr>
          <w:p w:rsidR="00565A34" w:rsidRDefault="00565A34" w:rsidP="00565A34">
            <w:pPr>
              <w:jc w:val="center"/>
              <w:rPr>
                <w:rFonts w:cstheme="minorHAnsi"/>
                <w:bCs/>
                <w:sz w:val="16"/>
                <w:szCs w:val="16"/>
              </w:rPr>
            </w:pPr>
          </w:p>
          <w:p w:rsidR="0032498C" w:rsidRPr="000D7FA9" w:rsidRDefault="0032498C" w:rsidP="00565A34">
            <w:pPr>
              <w:jc w:val="center"/>
              <w:rPr>
                <w:rFonts w:cstheme="minorHAnsi"/>
                <w:bCs/>
                <w:sz w:val="16"/>
                <w:szCs w:val="16"/>
              </w:rPr>
            </w:pPr>
          </w:p>
          <w:p w:rsidR="00565A34" w:rsidRPr="000D7FA9" w:rsidRDefault="00565A34" w:rsidP="00565A34">
            <w:pPr>
              <w:jc w:val="center"/>
              <w:rPr>
                <w:rFonts w:cstheme="minorHAnsi"/>
                <w:sz w:val="16"/>
                <w:szCs w:val="16"/>
              </w:rPr>
            </w:pPr>
            <w:r w:rsidRPr="000D7FA9">
              <w:rPr>
                <w:rFonts w:cstheme="minorHAnsi"/>
                <w:bCs/>
                <w:sz w:val="16"/>
                <w:szCs w:val="16"/>
              </w:rPr>
              <w:t>A2073*</w:t>
            </w:r>
            <w:r>
              <w:rPr>
                <w:rFonts w:cstheme="minorHAnsi"/>
                <w:bCs/>
                <w:sz w:val="16"/>
                <w:szCs w:val="16"/>
              </w:rPr>
              <w:t>/</w:t>
            </w:r>
            <w:r w:rsidRPr="000D7FA9">
              <w:rPr>
                <w:rFonts w:cstheme="minorHAnsi"/>
                <w:bCs/>
                <w:sz w:val="16"/>
                <w:szCs w:val="16"/>
              </w:rPr>
              <w:t xml:space="preserve"> S712</w:t>
            </w:r>
            <w:r>
              <w:rPr>
                <w:rFonts w:cstheme="minorHAnsi"/>
                <w:bCs/>
                <w:sz w:val="16"/>
                <w:szCs w:val="16"/>
              </w:rPr>
              <w:t>*</w:t>
            </w:r>
          </w:p>
        </w:tc>
        <w:tc>
          <w:tcPr>
            <w:tcW w:w="3060" w:type="dxa"/>
          </w:tcPr>
          <w:p w:rsidR="00565A34" w:rsidRPr="000D7FA9" w:rsidRDefault="00565A34" w:rsidP="00565A34">
            <w:pPr>
              <w:rPr>
                <w:rFonts w:cstheme="minorHAnsi"/>
                <w:sz w:val="16"/>
                <w:szCs w:val="16"/>
              </w:rPr>
            </w:pPr>
            <w:r w:rsidRPr="000D7FA9">
              <w:rPr>
                <w:rFonts w:cstheme="minorHAnsi"/>
                <w:sz w:val="16"/>
                <w:szCs w:val="16"/>
              </w:rPr>
              <w:t>The bills were introduced on January 14, 2014 and have been referred to the appropriate Committees in the Senate and Assembly.</w:t>
            </w:r>
            <w:r w:rsidR="009C5141">
              <w:rPr>
                <w:rFonts w:cstheme="minorHAnsi"/>
                <w:sz w:val="16"/>
                <w:szCs w:val="16"/>
              </w:rPr>
              <w:t xml:space="preserve">  A2073 was reported out of the Assembly Financial Institutions and Insurance Committee on a 2</w:t>
            </w:r>
            <w:r w:rsidR="009C5141" w:rsidRPr="00D13368">
              <w:rPr>
                <w:rFonts w:cstheme="minorHAnsi"/>
                <w:sz w:val="16"/>
                <w:szCs w:val="16"/>
                <w:vertAlign w:val="superscript"/>
              </w:rPr>
              <w:t>nd</w:t>
            </w:r>
            <w:r w:rsidR="009C5141">
              <w:rPr>
                <w:rFonts w:cstheme="minorHAnsi"/>
                <w:sz w:val="16"/>
                <w:szCs w:val="16"/>
              </w:rPr>
              <w:t xml:space="preserve"> Reading on June 5.</w:t>
            </w:r>
          </w:p>
        </w:tc>
        <w:tc>
          <w:tcPr>
            <w:tcW w:w="1170" w:type="dxa"/>
            <w:gridSpan w:val="2"/>
          </w:tcPr>
          <w:p w:rsidR="00565A34" w:rsidRDefault="00565A34" w:rsidP="00565A34">
            <w:pPr>
              <w:jc w:val="center"/>
              <w:rPr>
                <w:rFonts w:cstheme="minorHAnsi"/>
                <w:sz w:val="16"/>
                <w:szCs w:val="16"/>
              </w:rPr>
            </w:pPr>
          </w:p>
          <w:p w:rsidR="0032498C" w:rsidRDefault="0032498C" w:rsidP="00565A34">
            <w:pPr>
              <w:jc w:val="center"/>
              <w:rPr>
                <w:rFonts w:cstheme="minorHAnsi"/>
                <w:sz w:val="16"/>
                <w:szCs w:val="16"/>
              </w:rPr>
            </w:pPr>
          </w:p>
          <w:p w:rsidR="0032498C" w:rsidRPr="000D7FA9" w:rsidRDefault="0032498C"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Yes</w:t>
            </w:r>
          </w:p>
        </w:tc>
        <w:tc>
          <w:tcPr>
            <w:tcW w:w="1057" w:type="dxa"/>
          </w:tcPr>
          <w:p w:rsidR="00565A34" w:rsidRDefault="00565A34" w:rsidP="00565A34">
            <w:pPr>
              <w:jc w:val="center"/>
              <w:rPr>
                <w:rFonts w:cstheme="minorHAnsi"/>
                <w:sz w:val="16"/>
                <w:szCs w:val="16"/>
              </w:rPr>
            </w:pPr>
          </w:p>
          <w:p w:rsidR="0032498C" w:rsidRDefault="0032498C" w:rsidP="00565A34">
            <w:pPr>
              <w:jc w:val="center"/>
              <w:rPr>
                <w:rFonts w:cstheme="minorHAnsi"/>
                <w:sz w:val="16"/>
                <w:szCs w:val="16"/>
              </w:rPr>
            </w:pPr>
          </w:p>
          <w:p w:rsidR="0032498C" w:rsidRPr="000D7FA9" w:rsidRDefault="0032498C"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$1 million</w:t>
            </w:r>
          </w:p>
        </w:tc>
        <w:tc>
          <w:tcPr>
            <w:tcW w:w="1013" w:type="dxa"/>
            <w:gridSpan w:val="2"/>
          </w:tcPr>
          <w:p w:rsidR="00565A34" w:rsidRDefault="00565A34" w:rsidP="00565A34">
            <w:pPr>
              <w:jc w:val="center"/>
              <w:rPr>
                <w:rFonts w:cstheme="minorHAnsi"/>
                <w:sz w:val="16"/>
                <w:szCs w:val="16"/>
              </w:rPr>
            </w:pPr>
          </w:p>
          <w:p w:rsidR="0032498C" w:rsidRDefault="0032498C"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$5,000 unless accredited</w:t>
            </w:r>
          </w:p>
        </w:tc>
        <w:tc>
          <w:tcPr>
            <w:tcW w:w="1417" w:type="dxa"/>
          </w:tcPr>
          <w:p w:rsidR="00565A34" w:rsidRPr="000D7FA9" w:rsidRDefault="00565A34" w:rsidP="00565A34">
            <w:pPr>
              <w:jc w:val="center"/>
              <w:rPr>
                <w:rFonts w:cstheme="minorHAnsi"/>
                <w:sz w:val="16"/>
                <w:szCs w:val="16"/>
              </w:rPr>
            </w:pPr>
          </w:p>
        </w:tc>
        <w:tc>
          <w:tcPr>
            <w:tcW w:w="1463" w:type="dxa"/>
            <w:gridSpan w:val="2"/>
          </w:tcPr>
          <w:p w:rsidR="00565A34" w:rsidRDefault="00565A34" w:rsidP="00565A34">
            <w:pPr>
              <w:jc w:val="center"/>
              <w:rPr>
                <w:rFonts w:cstheme="minorHAnsi"/>
                <w:sz w:val="16"/>
                <w:szCs w:val="16"/>
              </w:rPr>
            </w:pPr>
          </w:p>
          <w:p w:rsidR="0032498C" w:rsidRDefault="0032498C"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Self-executing (incl. disclosure doc)</w:t>
            </w:r>
          </w:p>
        </w:tc>
        <w:tc>
          <w:tcPr>
            <w:tcW w:w="697" w:type="dxa"/>
          </w:tcPr>
          <w:p w:rsidR="00565A34" w:rsidRDefault="00565A34" w:rsidP="00565A34">
            <w:pPr>
              <w:jc w:val="center"/>
              <w:rPr>
                <w:rFonts w:cstheme="minorHAnsi"/>
                <w:sz w:val="16"/>
                <w:szCs w:val="16"/>
              </w:rPr>
            </w:pPr>
          </w:p>
          <w:p w:rsidR="0032498C" w:rsidRPr="000D7FA9" w:rsidRDefault="0032498C"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No</w:t>
            </w:r>
          </w:p>
        </w:tc>
        <w:tc>
          <w:tcPr>
            <w:tcW w:w="1170" w:type="dxa"/>
          </w:tcPr>
          <w:p w:rsidR="00565A34" w:rsidRDefault="00565A34" w:rsidP="00565A34">
            <w:pPr>
              <w:jc w:val="center"/>
              <w:rPr>
                <w:rFonts w:cstheme="minorHAnsi"/>
                <w:sz w:val="16"/>
                <w:szCs w:val="16"/>
              </w:rPr>
            </w:pPr>
          </w:p>
          <w:p w:rsidR="0032498C" w:rsidRPr="000D7FA9" w:rsidRDefault="0032498C"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Internet mandated</w:t>
            </w:r>
          </w:p>
        </w:tc>
        <w:tc>
          <w:tcPr>
            <w:tcW w:w="1170" w:type="dxa"/>
          </w:tcPr>
          <w:p w:rsidR="0032498C" w:rsidRDefault="0032498C"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Yes – basic quarterly reports to investors</w:t>
            </w:r>
          </w:p>
        </w:tc>
        <w:tc>
          <w:tcPr>
            <w:tcW w:w="1283" w:type="dxa"/>
          </w:tcPr>
          <w:p w:rsidR="00565A34" w:rsidRPr="000D7FA9" w:rsidRDefault="00565A34" w:rsidP="00565A34">
            <w:pPr>
              <w:jc w:val="center"/>
              <w:rPr>
                <w:rFonts w:cstheme="minorHAnsi"/>
                <w:sz w:val="16"/>
                <w:szCs w:val="16"/>
              </w:rPr>
            </w:pPr>
          </w:p>
        </w:tc>
      </w:tr>
      <w:tr w:rsidR="009032FC" w:rsidRPr="000D7FA9" w:rsidTr="00174AA1">
        <w:trPr>
          <w:cantSplit/>
          <w:trHeight w:val="764"/>
          <w:jc w:val="center"/>
        </w:trPr>
        <w:tc>
          <w:tcPr>
            <w:tcW w:w="1075" w:type="dxa"/>
          </w:tcPr>
          <w:p w:rsidR="009032FC" w:rsidRDefault="009032FC" w:rsidP="00565A34">
            <w:pPr>
              <w:rPr>
                <w:rFonts w:cstheme="minorHAnsi"/>
                <w:sz w:val="16"/>
                <w:szCs w:val="16"/>
              </w:rPr>
            </w:pPr>
          </w:p>
          <w:p w:rsidR="00142A29" w:rsidRDefault="00142A29" w:rsidP="00565A34">
            <w:pPr>
              <w:rPr>
                <w:rFonts w:cstheme="minorHAnsi"/>
                <w:sz w:val="16"/>
                <w:szCs w:val="16"/>
              </w:rPr>
            </w:pPr>
          </w:p>
          <w:p w:rsidR="00142A29" w:rsidRDefault="00142A29" w:rsidP="00565A34">
            <w:pPr>
              <w:rPr>
                <w:rFonts w:cstheme="minorHAnsi"/>
                <w:sz w:val="16"/>
                <w:szCs w:val="16"/>
              </w:rPr>
            </w:pPr>
          </w:p>
          <w:p w:rsidR="009032FC" w:rsidRDefault="009032FC" w:rsidP="00565A34">
            <w:pPr>
              <w:rPr>
                <w:rFonts w:cstheme="minorHAnsi"/>
                <w:sz w:val="16"/>
                <w:szCs w:val="16"/>
              </w:rPr>
            </w:pPr>
            <w:r>
              <w:rPr>
                <w:rFonts w:cstheme="minorHAnsi"/>
                <w:sz w:val="16"/>
                <w:szCs w:val="16"/>
              </w:rPr>
              <w:t>New Mexico</w:t>
            </w:r>
          </w:p>
        </w:tc>
        <w:tc>
          <w:tcPr>
            <w:tcW w:w="1193" w:type="dxa"/>
          </w:tcPr>
          <w:p w:rsidR="009032FC" w:rsidRDefault="009032FC" w:rsidP="00565A34">
            <w:pPr>
              <w:jc w:val="center"/>
              <w:rPr>
                <w:rFonts w:cstheme="minorHAnsi"/>
                <w:bCs/>
                <w:sz w:val="16"/>
                <w:szCs w:val="16"/>
              </w:rPr>
            </w:pPr>
          </w:p>
          <w:p w:rsidR="00142A29" w:rsidRDefault="00142A29" w:rsidP="00565A34">
            <w:pPr>
              <w:jc w:val="center"/>
              <w:rPr>
                <w:rFonts w:cstheme="minorHAnsi"/>
                <w:bCs/>
                <w:sz w:val="16"/>
                <w:szCs w:val="16"/>
              </w:rPr>
            </w:pPr>
          </w:p>
          <w:p w:rsidR="00142A29" w:rsidRDefault="00142A29" w:rsidP="00565A34">
            <w:pPr>
              <w:jc w:val="center"/>
              <w:rPr>
                <w:rFonts w:cstheme="minorHAnsi"/>
                <w:bCs/>
                <w:sz w:val="16"/>
                <w:szCs w:val="16"/>
              </w:rPr>
            </w:pPr>
          </w:p>
          <w:p w:rsidR="009032FC" w:rsidRDefault="009032FC" w:rsidP="00565A34">
            <w:pPr>
              <w:jc w:val="center"/>
              <w:rPr>
                <w:rFonts w:cstheme="minorHAnsi"/>
                <w:bCs/>
                <w:sz w:val="16"/>
                <w:szCs w:val="16"/>
              </w:rPr>
            </w:pPr>
            <w:r>
              <w:rPr>
                <w:rFonts w:cstheme="minorHAnsi"/>
                <w:bCs/>
                <w:sz w:val="16"/>
                <w:szCs w:val="16"/>
              </w:rPr>
              <w:t>Proposed Rules</w:t>
            </w:r>
          </w:p>
        </w:tc>
        <w:tc>
          <w:tcPr>
            <w:tcW w:w="3060" w:type="dxa"/>
          </w:tcPr>
          <w:p w:rsidR="00142A29" w:rsidRDefault="00142A29" w:rsidP="00565A34">
            <w:pPr>
              <w:rPr>
                <w:rFonts w:cstheme="minorHAnsi"/>
                <w:sz w:val="16"/>
                <w:szCs w:val="16"/>
              </w:rPr>
            </w:pPr>
          </w:p>
          <w:p w:rsidR="00142A29" w:rsidRDefault="00142A29" w:rsidP="00565A34">
            <w:pPr>
              <w:rPr>
                <w:rFonts w:cstheme="minorHAnsi"/>
                <w:sz w:val="16"/>
                <w:szCs w:val="16"/>
              </w:rPr>
            </w:pPr>
          </w:p>
          <w:p w:rsidR="00142A29" w:rsidRDefault="00142A29" w:rsidP="00565A34">
            <w:pPr>
              <w:rPr>
                <w:rFonts w:cstheme="minorHAnsi"/>
                <w:sz w:val="16"/>
                <w:szCs w:val="16"/>
              </w:rPr>
            </w:pPr>
          </w:p>
          <w:p w:rsidR="009032FC" w:rsidRPr="000D7FA9" w:rsidRDefault="009032FC" w:rsidP="00565A34">
            <w:pPr>
              <w:rPr>
                <w:rFonts w:cstheme="minorHAnsi"/>
                <w:sz w:val="16"/>
                <w:szCs w:val="16"/>
              </w:rPr>
            </w:pPr>
            <w:r>
              <w:rPr>
                <w:rFonts w:cstheme="minorHAnsi"/>
                <w:sz w:val="16"/>
                <w:szCs w:val="16"/>
              </w:rPr>
              <w:t xml:space="preserve">On September 24, 2014 the New Mexico Securities Division proposed rules on </w:t>
            </w:r>
            <w:r w:rsidR="007A0077">
              <w:rPr>
                <w:rFonts w:cstheme="minorHAnsi"/>
                <w:sz w:val="16"/>
                <w:szCs w:val="16"/>
              </w:rPr>
              <w:t xml:space="preserve">intrastate </w:t>
            </w:r>
            <w:r>
              <w:rPr>
                <w:rFonts w:cstheme="minorHAnsi"/>
                <w:sz w:val="16"/>
                <w:szCs w:val="16"/>
              </w:rPr>
              <w:t>crowdfunding.</w:t>
            </w:r>
          </w:p>
        </w:tc>
        <w:tc>
          <w:tcPr>
            <w:tcW w:w="1170" w:type="dxa"/>
            <w:gridSpan w:val="2"/>
          </w:tcPr>
          <w:p w:rsidR="009032FC" w:rsidRDefault="009032FC" w:rsidP="00565A34">
            <w:pPr>
              <w:jc w:val="center"/>
              <w:rPr>
                <w:rFonts w:cstheme="minorHAnsi"/>
                <w:sz w:val="16"/>
                <w:szCs w:val="16"/>
              </w:rPr>
            </w:pPr>
          </w:p>
          <w:p w:rsidR="00142A29" w:rsidRDefault="00142A29" w:rsidP="00565A34">
            <w:pPr>
              <w:jc w:val="center"/>
              <w:rPr>
                <w:rFonts w:cstheme="minorHAnsi"/>
                <w:sz w:val="16"/>
                <w:szCs w:val="16"/>
              </w:rPr>
            </w:pPr>
          </w:p>
          <w:p w:rsidR="00142A29" w:rsidRDefault="00142A29" w:rsidP="00565A34">
            <w:pPr>
              <w:jc w:val="center"/>
              <w:rPr>
                <w:rFonts w:cstheme="minorHAnsi"/>
                <w:sz w:val="16"/>
                <w:szCs w:val="16"/>
              </w:rPr>
            </w:pPr>
          </w:p>
          <w:p w:rsidR="007A0077" w:rsidRDefault="007A0077" w:rsidP="00565A34">
            <w:pPr>
              <w:jc w:val="center"/>
              <w:rPr>
                <w:rFonts w:cstheme="minorHAnsi"/>
                <w:sz w:val="16"/>
                <w:szCs w:val="16"/>
              </w:rPr>
            </w:pPr>
            <w:r>
              <w:rPr>
                <w:rFonts w:cstheme="minorHAnsi"/>
                <w:sz w:val="16"/>
                <w:szCs w:val="16"/>
              </w:rPr>
              <w:t>Yes</w:t>
            </w:r>
          </w:p>
        </w:tc>
        <w:tc>
          <w:tcPr>
            <w:tcW w:w="1057" w:type="dxa"/>
          </w:tcPr>
          <w:p w:rsidR="007D6C50" w:rsidRDefault="007D6C50" w:rsidP="00565A34">
            <w:pPr>
              <w:jc w:val="center"/>
              <w:rPr>
                <w:rFonts w:cstheme="minorHAnsi"/>
                <w:sz w:val="16"/>
                <w:szCs w:val="16"/>
              </w:rPr>
            </w:pPr>
          </w:p>
          <w:p w:rsidR="007D6C50" w:rsidRDefault="007D6C50" w:rsidP="00565A34">
            <w:pPr>
              <w:jc w:val="center"/>
              <w:rPr>
                <w:rFonts w:cstheme="minorHAnsi"/>
                <w:sz w:val="16"/>
                <w:szCs w:val="16"/>
              </w:rPr>
            </w:pPr>
          </w:p>
          <w:p w:rsidR="009032FC" w:rsidRDefault="007D6C50" w:rsidP="00565A34">
            <w:pPr>
              <w:jc w:val="center"/>
              <w:rPr>
                <w:rFonts w:cstheme="minorHAnsi"/>
                <w:sz w:val="16"/>
                <w:szCs w:val="16"/>
              </w:rPr>
            </w:pPr>
            <w:r>
              <w:rPr>
                <w:rFonts w:cstheme="minorHAnsi"/>
                <w:sz w:val="16"/>
                <w:szCs w:val="16"/>
              </w:rPr>
              <w:t>No limit</w:t>
            </w:r>
          </w:p>
        </w:tc>
        <w:tc>
          <w:tcPr>
            <w:tcW w:w="1013" w:type="dxa"/>
            <w:gridSpan w:val="2"/>
          </w:tcPr>
          <w:p w:rsidR="009032FC" w:rsidRPr="00791AA8" w:rsidRDefault="00791AA8" w:rsidP="007D6C50">
            <w:pPr>
              <w:jc w:val="center"/>
              <w:rPr>
                <w:rFonts w:cstheme="minorHAnsi"/>
                <w:sz w:val="16"/>
                <w:szCs w:val="16"/>
              </w:rPr>
            </w:pPr>
            <w:r>
              <w:rPr>
                <w:rFonts w:cstheme="minorHAnsi"/>
                <w:sz w:val="16"/>
                <w:szCs w:val="16"/>
              </w:rPr>
              <w:t>$10,000 (</w:t>
            </w:r>
            <w:r w:rsidR="007D6C50">
              <w:rPr>
                <w:rFonts w:cstheme="minorHAnsi"/>
                <w:sz w:val="16"/>
                <w:szCs w:val="16"/>
              </w:rPr>
              <w:t>larger amount if</w:t>
            </w:r>
            <w:r>
              <w:rPr>
                <w:rFonts w:cstheme="minorHAnsi"/>
                <w:sz w:val="16"/>
                <w:szCs w:val="16"/>
              </w:rPr>
              <w:t xml:space="preserve"> investor files</w:t>
            </w:r>
            <w:r>
              <w:rPr>
                <w:rFonts w:cstheme="minorHAnsi"/>
                <w:i/>
                <w:sz w:val="16"/>
                <w:szCs w:val="16"/>
              </w:rPr>
              <w:t xml:space="preserve"> </w:t>
            </w:r>
            <w:r w:rsidR="007D6C50">
              <w:rPr>
                <w:rFonts w:cstheme="minorHAnsi"/>
                <w:i/>
                <w:sz w:val="16"/>
                <w:szCs w:val="16"/>
              </w:rPr>
              <w:t>“</w:t>
            </w:r>
            <w:r>
              <w:rPr>
                <w:rFonts w:cstheme="minorHAnsi"/>
                <w:i/>
                <w:sz w:val="16"/>
                <w:szCs w:val="16"/>
              </w:rPr>
              <w:t>large investment form</w:t>
            </w:r>
            <w:r w:rsidR="007D6C50">
              <w:rPr>
                <w:rFonts w:cstheme="minorHAnsi"/>
                <w:i/>
                <w:sz w:val="16"/>
                <w:szCs w:val="16"/>
              </w:rPr>
              <w:t>”</w:t>
            </w:r>
            <w:r>
              <w:rPr>
                <w:rFonts w:cstheme="minorHAnsi"/>
                <w:sz w:val="16"/>
                <w:szCs w:val="16"/>
              </w:rPr>
              <w:t>)</w:t>
            </w:r>
          </w:p>
        </w:tc>
        <w:tc>
          <w:tcPr>
            <w:tcW w:w="1417" w:type="dxa"/>
          </w:tcPr>
          <w:p w:rsidR="009032FC" w:rsidRDefault="009032FC" w:rsidP="00565A34">
            <w:pPr>
              <w:jc w:val="center"/>
              <w:rPr>
                <w:rFonts w:cstheme="minorHAnsi"/>
                <w:sz w:val="16"/>
                <w:szCs w:val="16"/>
              </w:rPr>
            </w:pPr>
          </w:p>
          <w:p w:rsidR="00142A29" w:rsidRDefault="00142A29" w:rsidP="00565A34">
            <w:pPr>
              <w:jc w:val="center"/>
              <w:rPr>
                <w:rFonts w:cstheme="minorHAnsi"/>
                <w:sz w:val="16"/>
                <w:szCs w:val="16"/>
              </w:rPr>
            </w:pPr>
          </w:p>
          <w:p w:rsidR="00142A29" w:rsidRDefault="00142A29" w:rsidP="00565A34">
            <w:pPr>
              <w:jc w:val="center"/>
              <w:rPr>
                <w:rFonts w:cstheme="minorHAnsi"/>
                <w:sz w:val="16"/>
                <w:szCs w:val="16"/>
              </w:rPr>
            </w:pPr>
          </w:p>
          <w:p w:rsidR="00142A29" w:rsidRPr="000D7FA9" w:rsidRDefault="00142A29" w:rsidP="00565A34">
            <w:pPr>
              <w:jc w:val="center"/>
              <w:rPr>
                <w:rFonts w:cstheme="minorHAnsi"/>
                <w:sz w:val="16"/>
                <w:szCs w:val="16"/>
              </w:rPr>
            </w:pPr>
          </w:p>
        </w:tc>
        <w:tc>
          <w:tcPr>
            <w:tcW w:w="1463" w:type="dxa"/>
            <w:gridSpan w:val="2"/>
          </w:tcPr>
          <w:p w:rsidR="00572CC3" w:rsidRDefault="00572CC3" w:rsidP="00565A34">
            <w:pPr>
              <w:jc w:val="center"/>
              <w:rPr>
                <w:rFonts w:cstheme="minorHAnsi"/>
                <w:sz w:val="16"/>
                <w:szCs w:val="16"/>
              </w:rPr>
            </w:pPr>
          </w:p>
          <w:p w:rsidR="00572CC3" w:rsidRDefault="00572CC3" w:rsidP="00565A34">
            <w:pPr>
              <w:jc w:val="center"/>
              <w:rPr>
                <w:rFonts w:cstheme="minorHAnsi"/>
                <w:sz w:val="16"/>
                <w:szCs w:val="16"/>
              </w:rPr>
            </w:pPr>
          </w:p>
          <w:p w:rsidR="00572CC3" w:rsidRDefault="00572CC3" w:rsidP="00565A34">
            <w:pPr>
              <w:jc w:val="center"/>
              <w:rPr>
                <w:rFonts w:cstheme="minorHAnsi"/>
                <w:sz w:val="16"/>
                <w:szCs w:val="16"/>
              </w:rPr>
            </w:pPr>
          </w:p>
          <w:p w:rsidR="009032FC" w:rsidRDefault="00572CC3" w:rsidP="00565A34">
            <w:pPr>
              <w:jc w:val="center"/>
              <w:rPr>
                <w:rFonts w:cstheme="minorHAnsi"/>
                <w:sz w:val="16"/>
                <w:szCs w:val="16"/>
              </w:rPr>
            </w:pPr>
            <w:r>
              <w:rPr>
                <w:rFonts w:cstheme="minorHAnsi"/>
                <w:sz w:val="16"/>
                <w:szCs w:val="16"/>
              </w:rPr>
              <w:t>Notice filing</w:t>
            </w:r>
          </w:p>
        </w:tc>
        <w:tc>
          <w:tcPr>
            <w:tcW w:w="697" w:type="dxa"/>
          </w:tcPr>
          <w:p w:rsidR="009032FC" w:rsidRDefault="009032FC" w:rsidP="00565A34">
            <w:pPr>
              <w:jc w:val="center"/>
              <w:rPr>
                <w:rFonts w:cstheme="minorHAnsi"/>
                <w:sz w:val="16"/>
                <w:szCs w:val="16"/>
              </w:rPr>
            </w:pPr>
          </w:p>
          <w:p w:rsidR="008B2897" w:rsidRDefault="008B2897" w:rsidP="00565A34">
            <w:pPr>
              <w:jc w:val="center"/>
              <w:rPr>
                <w:rFonts w:cstheme="minorHAnsi"/>
                <w:sz w:val="16"/>
                <w:szCs w:val="16"/>
              </w:rPr>
            </w:pPr>
          </w:p>
          <w:p w:rsidR="008B2897" w:rsidRDefault="008B2897" w:rsidP="00565A34">
            <w:pPr>
              <w:jc w:val="center"/>
              <w:rPr>
                <w:rFonts w:cstheme="minorHAnsi"/>
                <w:sz w:val="16"/>
                <w:szCs w:val="16"/>
              </w:rPr>
            </w:pPr>
          </w:p>
          <w:p w:rsidR="008B2897" w:rsidRDefault="007466E5" w:rsidP="00565A34">
            <w:pPr>
              <w:jc w:val="center"/>
              <w:rPr>
                <w:rFonts w:cstheme="minorHAnsi"/>
                <w:sz w:val="16"/>
                <w:szCs w:val="16"/>
              </w:rPr>
            </w:pPr>
            <w:r>
              <w:rPr>
                <w:rFonts w:cstheme="minorHAnsi"/>
                <w:sz w:val="16"/>
                <w:szCs w:val="16"/>
              </w:rPr>
              <w:t>Yes</w:t>
            </w:r>
          </w:p>
        </w:tc>
        <w:tc>
          <w:tcPr>
            <w:tcW w:w="1170" w:type="dxa"/>
          </w:tcPr>
          <w:p w:rsidR="00142A29" w:rsidRDefault="00142A29" w:rsidP="00B257FE">
            <w:pPr>
              <w:jc w:val="center"/>
              <w:rPr>
                <w:rFonts w:cstheme="minorHAnsi"/>
                <w:sz w:val="16"/>
                <w:szCs w:val="16"/>
              </w:rPr>
            </w:pPr>
          </w:p>
          <w:p w:rsidR="009032FC" w:rsidRDefault="00B257FE" w:rsidP="00A85997">
            <w:pPr>
              <w:rPr>
                <w:rFonts w:cstheme="minorHAnsi"/>
                <w:sz w:val="16"/>
                <w:szCs w:val="16"/>
              </w:rPr>
            </w:pPr>
            <w:r>
              <w:rPr>
                <w:rFonts w:cstheme="minorHAnsi"/>
                <w:sz w:val="16"/>
                <w:szCs w:val="16"/>
              </w:rPr>
              <w:t>Yes (NM-based platforms only, and registration)</w:t>
            </w:r>
          </w:p>
        </w:tc>
        <w:tc>
          <w:tcPr>
            <w:tcW w:w="1170" w:type="dxa"/>
          </w:tcPr>
          <w:p w:rsidR="009032FC" w:rsidRDefault="009032FC" w:rsidP="00565A34">
            <w:pPr>
              <w:jc w:val="center"/>
              <w:rPr>
                <w:rFonts w:cstheme="minorHAnsi"/>
                <w:sz w:val="16"/>
                <w:szCs w:val="16"/>
              </w:rPr>
            </w:pPr>
          </w:p>
        </w:tc>
        <w:tc>
          <w:tcPr>
            <w:tcW w:w="1283" w:type="dxa"/>
          </w:tcPr>
          <w:p w:rsidR="009032FC" w:rsidRPr="000D7FA9" w:rsidRDefault="009032FC" w:rsidP="00565A34">
            <w:pPr>
              <w:jc w:val="center"/>
              <w:rPr>
                <w:rFonts w:cstheme="minorHAnsi"/>
                <w:sz w:val="16"/>
                <w:szCs w:val="16"/>
              </w:rPr>
            </w:pPr>
          </w:p>
        </w:tc>
      </w:tr>
      <w:tr w:rsidR="00116B48" w:rsidRPr="000D7FA9" w:rsidTr="00116B48">
        <w:trPr>
          <w:cantSplit/>
          <w:trHeight w:val="764"/>
          <w:jc w:val="center"/>
        </w:trPr>
        <w:tc>
          <w:tcPr>
            <w:tcW w:w="1075" w:type="dxa"/>
          </w:tcPr>
          <w:p w:rsidR="00174E51" w:rsidRDefault="00174E51" w:rsidP="00565A34">
            <w:pPr>
              <w:rPr>
                <w:rFonts w:cstheme="minorHAnsi"/>
                <w:sz w:val="16"/>
                <w:szCs w:val="16"/>
              </w:rPr>
            </w:pPr>
          </w:p>
          <w:p w:rsidR="00174E51" w:rsidRDefault="00174E51" w:rsidP="00565A34">
            <w:pPr>
              <w:rPr>
                <w:rFonts w:cstheme="minorHAnsi"/>
                <w:sz w:val="16"/>
                <w:szCs w:val="16"/>
              </w:rPr>
            </w:pPr>
          </w:p>
          <w:p w:rsidR="00116B48" w:rsidRPr="000D7FA9" w:rsidRDefault="00116B48" w:rsidP="00873F58">
            <w:pPr>
              <w:jc w:val="center"/>
              <w:rPr>
                <w:rFonts w:cstheme="minorHAnsi"/>
                <w:sz w:val="16"/>
                <w:szCs w:val="16"/>
              </w:rPr>
            </w:pPr>
            <w:r>
              <w:rPr>
                <w:rFonts w:cstheme="minorHAnsi"/>
                <w:sz w:val="16"/>
                <w:szCs w:val="16"/>
              </w:rPr>
              <w:t>New Mexico</w:t>
            </w:r>
          </w:p>
        </w:tc>
        <w:tc>
          <w:tcPr>
            <w:tcW w:w="1193" w:type="dxa"/>
          </w:tcPr>
          <w:p w:rsidR="00174E51" w:rsidRDefault="00174E51" w:rsidP="00565A34">
            <w:pPr>
              <w:jc w:val="center"/>
              <w:rPr>
                <w:rFonts w:cstheme="minorHAnsi"/>
                <w:bCs/>
                <w:sz w:val="16"/>
                <w:szCs w:val="16"/>
              </w:rPr>
            </w:pPr>
          </w:p>
          <w:p w:rsidR="00174E51" w:rsidRDefault="00174E51" w:rsidP="00565A34">
            <w:pPr>
              <w:jc w:val="center"/>
              <w:rPr>
                <w:rFonts w:cstheme="minorHAnsi"/>
                <w:bCs/>
                <w:sz w:val="16"/>
                <w:szCs w:val="16"/>
              </w:rPr>
            </w:pPr>
          </w:p>
          <w:p w:rsidR="00116B48" w:rsidRPr="000D7FA9" w:rsidRDefault="00116B48" w:rsidP="00565A34">
            <w:pPr>
              <w:jc w:val="center"/>
              <w:rPr>
                <w:rFonts w:cstheme="minorHAnsi"/>
                <w:bCs/>
                <w:sz w:val="16"/>
                <w:szCs w:val="16"/>
              </w:rPr>
            </w:pPr>
            <w:r w:rsidRPr="00116B48">
              <w:rPr>
                <w:rFonts w:cstheme="minorHAnsi"/>
                <w:bCs/>
                <w:sz w:val="16"/>
                <w:szCs w:val="16"/>
              </w:rPr>
              <w:t>HM 85</w:t>
            </w:r>
            <w:r w:rsidR="00174E51">
              <w:rPr>
                <w:rFonts w:cstheme="minorHAnsi"/>
                <w:bCs/>
                <w:sz w:val="16"/>
                <w:szCs w:val="16"/>
              </w:rPr>
              <w:t>*</w:t>
            </w:r>
          </w:p>
        </w:tc>
        <w:tc>
          <w:tcPr>
            <w:tcW w:w="3060" w:type="dxa"/>
          </w:tcPr>
          <w:p w:rsidR="00116B48" w:rsidRPr="000D7FA9" w:rsidRDefault="00116B48" w:rsidP="00565A34">
            <w:pPr>
              <w:rPr>
                <w:rFonts w:cstheme="minorHAnsi"/>
                <w:sz w:val="16"/>
                <w:szCs w:val="16"/>
              </w:rPr>
            </w:pPr>
            <w:r w:rsidRPr="00116B48">
              <w:rPr>
                <w:rFonts w:cstheme="minorHAnsi"/>
                <w:sz w:val="16"/>
                <w:szCs w:val="16"/>
              </w:rPr>
              <w:t xml:space="preserve">On February 6, 2014, bill HM 85 was introduced in the New Mexico House of Representatives and </w:t>
            </w:r>
            <w:r w:rsidRPr="008C239A">
              <w:rPr>
                <w:rFonts w:cstheme="minorHAnsi"/>
                <w:sz w:val="16"/>
                <w:szCs w:val="16"/>
                <w:u w:val="single"/>
              </w:rPr>
              <w:t>on February 7, 2014 action on the bill was postponed indefinitely</w:t>
            </w:r>
            <w:r>
              <w:rPr>
                <w:rFonts w:cstheme="minorHAnsi"/>
                <w:sz w:val="16"/>
                <w:szCs w:val="16"/>
              </w:rPr>
              <w:t>.</w:t>
            </w:r>
          </w:p>
        </w:tc>
        <w:tc>
          <w:tcPr>
            <w:tcW w:w="10440" w:type="dxa"/>
            <w:gridSpan w:val="12"/>
            <w:vAlign w:val="center"/>
          </w:tcPr>
          <w:p w:rsidR="00116B48" w:rsidRPr="00116B48" w:rsidRDefault="00116B48" w:rsidP="00116B48">
            <w:pPr>
              <w:rPr>
                <w:rFonts w:cstheme="minorHAnsi"/>
                <w:i/>
                <w:sz w:val="16"/>
                <w:szCs w:val="16"/>
              </w:rPr>
            </w:pPr>
            <w:r w:rsidRPr="00116B48">
              <w:rPr>
                <w:rFonts w:cstheme="minorHAnsi"/>
                <w:i/>
                <w:sz w:val="16"/>
                <w:szCs w:val="16"/>
              </w:rPr>
              <w:t xml:space="preserve">The bill would request the New Mexico Economic Development Department to </w:t>
            </w:r>
            <w:r w:rsidRPr="00116B48">
              <w:rPr>
                <w:rFonts w:cstheme="minorHAnsi"/>
                <w:i/>
                <w:sz w:val="16"/>
                <w:szCs w:val="16"/>
                <w:u w:val="single"/>
              </w:rPr>
              <w:t>study</w:t>
            </w:r>
            <w:r w:rsidRPr="00116B48">
              <w:rPr>
                <w:rFonts w:cstheme="minorHAnsi"/>
                <w:i/>
                <w:sz w:val="16"/>
                <w:szCs w:val="16"/>
              </w:rPr>
              <w:t xml:space="preserve"> and identify potential benefits to New Mexico from crowdfunding provisions of the JOBS Act.  The Economic Development Department would prepare a report and present its findings to the appropriate interim legislative committee by November 1, 2014.</w:t>
            </w:r>
          </w:p>
        </w:tc>
      </w:tr>
      <w:tr w:rsidR="00565A34" w:rsidRPr="000D7FA9" w:rsidTr="00174AA1">
        <w:trPr>
          <w:cantSplit/>
          <w:trHeight w:val="791"/>
          <w:jc w:val="center"/>
        </w:trPr>
        <w:tc>
          <w:tcPr>
            <w:tcW w:w="1075" w:type="dxa"/>
          </w:tcPr>
          <w:p w:rsidR="00565A34" w:rsidRDefault="00565A34" w:rsidP="00565A34">
            <w:pPr>
              <w:rPr>
                <w:rFonts w:cstheme="minorHAnsi"/>
                <w:sz w:val="16"/>
                <w:szCs w:val="16"/>
              </w:rPr>
            </w:pPr>
          </w:p>
          <w:p w:rsidR="00975930" w:rsidRPr="000D7FA9" w:rsidRDefault="00975930" w:rsidP="00565A34">
            <w:pP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North Carolina</w:t>
            </w:r>
          </w:p>
        </w:tc>
        <w:tc>
          <w:tcPr>
            <w:tcW w:w="1193" w:type="dxa"/>
            <w:vAlign w:val="center"/>
          </w:tcPr>
          <w:p w:rsidR="00565A34" w:rsidRPr="000D7FA9" w:rsidRDefault="00565A34" w:rsidP="00565A34">
            <w:pPr>
              <w:jc w:val="center"/>
              <w:rPr>
                <w:rFonts w:cstheme="minorHAnsi"/>
                <w:sz w:val="16"/>
                <w:szCs w:val="16"/>
              </w:rPr>
            </w:pPr>
            <w:r w:rsidRPr="000D7FA9">
              <w:rPr>
                <w:rFonts w:cstheme="minorHAnsi"/>
                <w:bCs/>
                <w:sz w:val="16"/>
                <w:szCs w:val="16"/>
              </w:rPr>
              <w:t>HB 680*</w:t>
            </w:r>
          </w:p>
        </w:tc>
        <w:tc>
          <w:tcPr>
            <w:tcW w:w="3060" w:type="dxa"/>
          </w:tcPr>
          <w:p w:rsidR="00565A34" w:rsidRPr="000D7FA9" w:rsidRDefault="00565A34" w:rsidP="00DD0C96">
            <w:pPr>
              <w:rPr>
                <w:rFonts w:cstheme="minorHAnsi"/>
                <w:sz w:val="16"/>
                <w:szCs w:val="16"/>
              </w:rPr>
            </w:pPr>
            <w:r w:rsidRPr="000D7FA9">
              <w:rPr>
                <w:rFonts w:cstheme="minorHAnsi"/>
                <w:sz w:val="16"/>
                <w:szCs w:val="16"/>
              </w:rPr>
              <w:t xml:space="preserve">The bill </w:t>
            </w:r>
            <w:r w:rsidR="00DD0C96">
              <w:rPr>
                <w:rFonts w:cstheme="minorHAnsi"/>
                <w:sz w:val="16"/>
                <w:szCs w:val="16"/>
              </w:rPr>
              <w:t>was introduced on April 9, 2013 and passed the House on June 20, 2013.  A substitute bill was reported favorably in the Senate Commerce Committee and the bill was re-referred to the Senate Finance Committee on July 17, 2014.</w:t>
            </w:r>
            <w:r w:rsidRPr="000D7FA9">
              <w:rPr>
                <w:rFonts w:cstheme="minorHAnsi"/>
                <w:sz w:val="16"/>
                <w:szCs w:val="16"/>
              </w:rPr>
              <w:t xml:space="preserve">  </w:t>
            </w:r>
          </w:p>
        </w:tc>
        <w:tc>
          <w:tcPr>
            <w:tcW w:w="1170" w:type="dxa"/>
            <w:gridSpan w:val="2"/>
          </w:tcPr>
          <w:p w:rsidR="00565A34" w:rsidRDefault="00565A34" w:rsidP="00413565">
            <w:pPr>
              <w:rPr>
                <w:rFonts w:cstheme="minorHAnsi"/>
                <w:sz w:val="16"/>
                <w:szCs w:val="16"/>
              </w:rPr>
            </w:pPr>
          </w:p>
          <w:p w:rsidR="002758B3" w:rsidRPr="000D7FA9" w:rsidRDefault="002758B3" w:rsidP="00413565">
            <w:pP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Yes</w:t>
            </w:r>
          </w:p>
        </w:tc>
        <w:tc>
          <w:tcPr>
            <w:tcW w:w="1057" w:type="dxa"/>
          </w:tcPr>
          <w:p w:rsidR="002758B3" w:rsidRDefault="002758B3" w:rsidP="00413565">
            <w:pPr>
              <w:jc w:val="center"/>
              <w:rPr>
                <w:rFonts w:cstheme="minorHAnsi"/>
                <w:sz w:val="16"/>
                <w:szCs w:val="16"/>
              </w:rPr>
            </w:pPr>
          </w:p>
          <w:p w:rsidR="00565A34" w:rsidRPr="000D7FA9" w:rsidRDefault="00565A34" w:rsidP="00413565">
            <w:pPr>
              <w:jc w:val="center"/>
              <w:rPr>
                <w:rFonts w:cstheme="minorHAnsi"/>
                <w:sz w:val="16"/>
                <w:szCs w:val="16"/>
              </w:rPr>
            </w:pPr>
            <w:r w:rsidRPr="000D7FA9">
              <w:rPr>
                <w:rFonts w:cstheme="minorHAnsi"/>
                <w:sz w:val="16"/>
                <w:szCs w:val="16"/>
              </w:rPr>
              <w:t>$1 million;  $2 million if audited</w:t>
            </w:r>
          </w:p>
        </w:tc>
        <w:tc>
          <w:tcPr>
            <w:tcW w:w="1013" w:type="dxa"/>
            <w:gridSpan w:val="2"/>
          </w:tcPr>
          <w:p w:rsidR="002758B3" w:rsidRDefault="002758B3" w:rsidP="00413565">
            <w:pPr>
              <w:jc w:val="center"/>
              <w:rPr>
                <w:rFonts w:cstheme="minorHAnsi"/>
                <w:sz w:val="16"/>
                <w:szCs w:val="16"/>
              </w:rPr>
            </w:pPr>
          </w:p>
          <w:p w:rsidR="00565A34" w:rsidRPr="000D7FA9" w:rsidRDefault="00565A34" w:rsidP="00413565">
            <w:pPr>
              <w:jc w:val="center"/>
              <w:rPr>
                <w:rFonts w:cstheme="minorHAnsi"/>
                <w:sz w:val="16"/>
                <w:szCs w:val="16"/>
              </w:rPr>
            </w:pPr>
            <w:r w:rsidRPr="000D7FA9">
              <w:rPr>
                <w:rFonts w:cstheme="minorHAnsi"/>
                <w:sz w:val="16"/>
                <w:szCs w:val="16"/>
              </w:rPr>
              <w:t>$2,000 unless accredited</w:t>
            </w:r>
          </w:p>
        </w:tc>
        <w:tc>
          <w:tcPr>
            <w:tcW w:w="1417" w:type="dxa"/>
          </w:tcPr>
          <w:p w:rsidR="00565A34" w:rsidRDefault="00565A34" w:rsidP="00413565">
            <w:pPr>
              <w:rPr>
                <w:rFonts w:cstheme="minorHAnsi"/>
                <w:sz w:val="16"/>
                <w:szCs w:val="16"/>
              </w:rPr>
            </w:pPr>
          </w:p>
          <w:p w:rsidR="002758B3" w:rsidRDefault="002758B3" w:rsidP="00413565">
            <w:pP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 xml:space="preserve">No </w:t>
            </w:r>
          </w:p>
          <w:p w:rsidR="00565A34" w:rsidRPr="000D7FA9" w:rsidRDefault="00565A34" w:rsidP="00565A34">
            <w:pPr>
              <w:jc w:val="center"/>
              <w:rPr>
                <w:rFonts w:cstheme="minorHAnsi"/>
                <w:sz w:val="16"/>
                <w:szCs w:val="16"/>
              </w:rPr>
            </w:pPr>
          </w:p>
        </w:tc>
        <w:tc>
          <w:tcPr>
            <w:tcW w:w="1463" w:type="dxa"/>
            <w:gridSpan w:val="2"/>
          </w:tcPr>
          <w:p w:rsidR="002758B3" w:rsidRDefault="002758B3" w:rsidP="00413565">
            <w:pPr>
              <w:jc w:val="center"/>
              <w:rPr>
                <w:rFonts w:cstheme="minorHAnsi"/>
                <w:sz w:val="16"/>
                <w:szCs w:val="16"/>
              </w:rPr>
            </w:pPr>
          </w:p>
          <w:p w:rsidR="00565A34" w:rsidRPr="000D7FA9" w:rsidRDefault="00565A34" w:rsidP="00413565">
            <w:pPr>
              <w:jc w:val="center"/>
              <w:rPr>
                <w:rFonts w:cstheme="minorHAnsi"/>
                <w:sz w:val="16"/>
                <w:szCs w:val="16"/>
              </w:rPr>
            </w:pPr>
            <w:r w:rsidRPr="000D7FA9">
              <w:rPr>
                <w:rFonts w:cstheme="minorHAnsi"/>
                <w:sz w:val="16"/>
                <w:szCs w:val="16"/>
              </w:rPr>
              <w:t>Notice filing (including disclosure doc)</w:t>
            </w:r>
          </w:p>
        </w:tc>
        <w:tc>
          <w:tcPr>
            <w:tcW w:w="697" w:type="dxa"/>
          </w:tcPr>
          <w:p w:rsidR="00565A34" w:rsidRDefault="00565A34" w:rsidP="00565A34">
            <w:pPr>
              <w:jc w:val="center"/>
              <w:rPr>
                <w:rFonts w:cstheme="minorHAnsi"/>
                <w:sz w:val="16"/>
                <w:szCs w:val="16"/>
              </w:rPr>
            </w:pPr>
          </w:p>
          <w:p w:rsidR="002758B3" w:rsidRPr="000D7FA9" w:rsidRDefault="002758B3" w:rsidP="00565A34">
            <w:pPr>
              <w:jc w:val="center"/>
              <w:rPr>
                <w:rFonts w:cstheme="minorHAnsi"/>
                <w:sz w:val="16"/>
                <w:szCs w:val="16"/>
              </w:rPr>
            </w:pPr>
          </w:p>
          <w:p w:rsidR="00565A34" w:rsidRPr="000D7FA9" w:rsidRDefault="00565A34" w:rsidP="00413565">
            <w:pPr>
              <w:jc w:val="center"/>
              <w:rPr>
                <w:rFonts w:cstheme="minorHAnsi"/>
                <w:sz w:val="16"/>
                <w:szCs w:val="16"/>
              </w:rPr>
            </w:pPr>
            <w:r w:rsidRPr="000D7FA9">
              <w:rPr>
                <w:rFonts w:cstheme="minorHAnsi"/>
                <w:sz w:val="16"/>
                <w:szCs w:val="16"/>
              </w:rPr>
              <w:t>Yes</w:t>
            </w:r>
          </w:p>
        </w:tc>
        <w:tc>
          <w:tcPr>
            <w:tcW w:w="1170" w:type="dxa"/>
          </w:tcPr>
          <w:p w:rsidR="002758B3" w:rsidRDefault="002758B3"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Yes (NC-based platforms only, and light registration)</w:t>
            </w:r>
          </w:p>
        </w:tc>
        <w:tc>
          <w:tcPr>
            <w:tcW w:w="1170" w:type="dxa"/>
          </w:tcPr>
          <w:p w:rsidR="002758B3" w:rsidRDefault="002758B3"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Yes – basic quarterly reports to investors</w:t>
            </w:r>
          </w:p>
        </w:tc>
        <w:tc>
          <w:tcPr>
            <w:tcW w:w="1283" w:type="dxa"/>
          </w:tcPr>
          <w:p w:rsidR="00565A34" w:rsidRPr="000D7FA9" w:rsidRDefault="00565A34" w:rsidP="00565A34">
            <w:pPr>
              <w:jc w:val="center"/>
              <w:rPr>
                <w:rFonts w:cstheme="minorHAnsi"/>
                <w:sz w:val="16"/>
                <w:szCs w:val="16"/>
              </w:rPr>
            </w:pPr>
          </w:p>
        </w:tc>
      </w:tr>
      <w:tr w:rsidR="00A011E0" w:rsidRPr="000D7FA9" w:rsidTr="00A011E0">
        <w:trPr>
          <w:cantSplit/>
          <w:trHeight w:val="791"/>
          <w:jc w:val="center"/>
        </w:trPr>
        <w:tc>
          <w:tcPr>
            <w:tcW w:w="1075" w:type="dxa"/>
            <w:vAlign w:val="center"/>
          </w:tcPr>
          <w:p w:rsidR="00A011E0" w:rsidRPr="00A011E0" w:rsidRDefault="00A011E0" w:rsidP="00A011E0">
            <w:pPr>
              <w:jc w:val="center"/>
              <w:rPr>
                <w:rFonts w:cstheme="minorHAnsi"/>
                <w:sz w:val="16"/>
                <w:szCs w:val="16"/>
              </w:rPr>
            </w:pPr>
            <w:r w:rsidRPr="00A011E0">
              <w:rPr>
                <w:rFonts w:cstheme="minorHAnsi"/>
                <w:sz w:val="16"/>
                <w:szCs w:val="16"/>
              </w:rPr>
              <w:t>Pennsylvania</w:t>
            </w:r>
          </w:p>
        </w:tc>
        <w:tc>
          <w:tcPr>
            <w:tcW w:w="1193" w:type="dxa"/>
            <w:vAlign w:val="center"/>
          </w:tcPr>
          <w:p w:rsidR="00A011E0" w:rsidRPr="00A011E0" w:rsidRDefault="00A011E0" w:rsidP="00565A34">
            <w:pPr>
              <w:jc w:val="center"/>
              <w:rPr>
                <w:rFonts w:cstheme="minorHAnsi"/>
                <w:bCs/>
                <w:sz w:val="16"/>
                <w:szCs w:val="16"/>
              </w:rPr>
            </w:pPr>
            <w:r w:rsidRPr="00A011E0">
              <w:rPr>
                <w:rFonts w:cs="Times New Roman"/>
                <w:sz w:val="16"/>
                <w:szCs w:val="16"/>
              </w:rPr>
              <w:t>SB 1045</w:t>
            </w:r>
          </w:p>
        </w:tc>
        <w:tc>
          <w:tcPr>
            <w:tcW w:w="3060" w:type="dxa"/>
          </w:tcPr>
          <w:p w:rsidR="00A011E0" w:rsidRPr="00D13368" w:rsidRDefault="00A011E0" w:rsidP="00A73014">
            <w:pPr>
              <w:rPr>
                <w:rFonts w:cstheme="minorHAnsi"/>
                <w:b/>
                <w:sz w:val="16"/>
                <w:szCs w:val="16"/>
              </w:rPr>
            </w:pPr>
            <w:r>
              <w:rPr>
                <w:rFonts w:cs="Times New Roman"/>
                <w:sz w:val="16"/>
                <w:szCs w:val="16"/>
              </w:rPr>
              <w:t xml:space="preserve">The bill was introduced on June 27, 2013. </w:t>
            </w:r>
            <w:r w:rsidRPr="00A011E0">
              <w:rPr>
                <w:rFonts w:cs="Times New Roman"/>
                <w:sz w:val="16"/>
                <w:szCs w:val="16"/>
              </w:rPr>
              <w:t xml:space="preserve">The bill passed the Senate on January 28, 2014 and </w:t>
            </w:r>
            <w:r w:rsidR="00A73014">
              <w:rPr>
                <w:rFonts w:cs="Times New Roman"/>
                <w:sz w:val="16"/>
                <w:szCs w:val="16"/>
              </w:rPr>
              <w:t xml:space="preserve">passed the House on June 2, 2014.  </w:t>
            </w:r>
            <w:r w:rsidR="00A73014" w:rsidRPr="00D13368">
              <w:rPr>
                <w:rFonts w:cs="Times New Roman"/>
                <w:b/>
                <w:sz w:val="16"/>
                <w:szCs w:val="16"/>
              </w:rPr>
              <w:t>SB 1045</w:t>
            </w:r>
            <w:r w:rsidR="00A73014">
              <w:rPr>
                <w:rFonts w:cs="Times New Roman"/>
                <w:b/>
                <w:sz w:val="16"/>
                <w:szCs w:val="16"/>
              </w:rPr>
              <w:t xml:space="preserve"> was signed into law as Act No. 52 by Governor Tom Corbett on June 10</w:t>
            </w:r>
            <w:r w:rsidR="0054198E">
              <w:rPr>
                <w:rFonts w:cs="Times New Roman"/>
                <w:b/>
                <w:sz w:val="16"/>
                <w:szCs w:val="16"/>
              </w:rPr>
              <w:t>, 2014</w:t>
            </w:r>
            <w:r w:rsidR="00F07C1B">
              <w:rPr>
                <w:rFonts w:cs="Times New Roman"/>
                <w:b/>
                <w:sz w:val="16"/>
                <w:szCs w:val="16"/>
              </w:rPr>
              <w:t xml:space="preserve"> and took</w:t>
            </w:r>
            <w:r w:rsidR="002F670E">
              <w:rPr>
                <w:rFonts w:cs="Times New Roman"/>
                <w:b/>
                <w:sz w:val="16"/>
                <w:szCs w:val="16"/>
              </w:rPr>
              <w:t xml:space="preserve"> effect on August 10, 2014</w:t>
            </w:r>
          </w:p>
        </w:tc>
        <w:tc>
          <w:tcPr>
            <w:tcW w:w="10440" w:type="dxa"/>
            <w:gridSpan w:val="12"/>
            <w:vAlign w:val="center"/>
          </w:tcPr>
          <w:p w:rsidR="00A011E0" w:rsidRPr="00A011E0" w:rsidRDefault="00A011E0" w:rsidP="00A011E0">
            <w:pPr>
              <w:rPr>
                <w:rFonts w:cstheme="minorHAnsi"/>
                <w:i/>
                <w:sz w:val="16"/>
                <w:szCs w:val="16"/>
              </w:rPr>
            </w:pPr>
            <w:r w:rsidRPr="00A011E0">
              <w:rPr>
                <w:rFonts w:cstheme="minorHAnsi"/>
                <w:i/>
                <w:sz w:val="16"/>
                <w:szCs w:val="16"/>
              </w:rPr>
              <w:t xml:space="preserve">This bill is </w:t>
            </w:r>
            <w:r w:rsidRPr="00A011E0">
              <w:rPr>
                <w:rFonts w:cstheme="minorHAnsi"/>
                <w:i/>
                <w:sz w:val="16"/>
                <w:szCs w:val="16"/>
                <w:u w:val="single"/>
              </w:rPr>
              <w:t>tied to the federal crowdfunding exemption</w:t>
            </w:r>
            <w:r w:rsidRPr="00A011E0">
              <w:rPr>
                <w:rFonts w:cstheme="minorHAnsi"/>
                <w:i/>
                <w:sz w:val="16"/>
                <w:szCs w:val="16"/>
              </w:rPr>
              <w:t xml:space="preserve"> and provides that the home state of the federally registered funding portals can require registration/examination.  It also </w:t>
            </w:r>
            <w:r w:rsidRPr="000D7FA9">
              <w:rPr>
                <w:rFonts w:cstheme="minorHAnsi"/>
                <w:i/>
                <w:sz w:val="16"/>
                <w:szCs w:val="16"/>
              </w:rPr>
              <w:t xml:space="preserve">provides </w:t>
            </w:r>
            <w:r>
              <w:rPr>
                <w:rFonts w:cstheme="minorHAnsi"/>
                <w:i/>
                <w:sz w:val="16"/>
                <w:szCs w:val="16"/>
              </w:rPr>
              <w:t xml:space="preserve">for a home state notice filing issuer or if conducting 50% or more sales to residents.  </w:t>
            </w:r>
            <w:r w:rsidRPr="000D7FA9">
              <w:rPr>
                <w:rFonts w:cstheme="minorHAnsi"/>
                <w:i/>
                <w:sz w:val="16"/>
                <w:szCs w:val="16"/>
              </w:rPr>
              <w:t xml:space="preserve"> </w:t>
            </w:r>
          </w:p>
        </w:tc>
      </w:tr>
      <w:tr w:rsidR="00565A34" w:rsidRPr="000D7FA9" w:rsidTr="005864F3">
        <w:trPr>
          <w:cantSplit/>
          <w:trHeight w:val="746"/>
          <w:jc w:val="center"/>
        </w:trPr>
        <w:tc>
          <w:tcPr>
            <w:tcW w:w="1075" w:type="dxa"/>
            <w:vAlign w:val="center"/>
          </w:tcPr>
          <w:p w:rsidR="00565A34" w:rsidRPr="000D7FA9" w:rsidRDefault="00565A34" w:rsidP="00565A34">
            <w:pPr>
              <w:jc w:val="center"/>
              <w:rPr>
                <w:rFonts w:cstheme="minorHAnsi"/>
                <w:sz w:val="16"/>
                <w:szCs w:val="16"/>
              </w:rPr>
            </w:pPr>
            <w:r w:rsidRPr="000D7FA9">
              <w:rPr>
                <w:rFonts w:cstheme="minorHAnsi"/>
                <w:sz w:val="16"/>
                <w:szCs w:val="16"/>
              </w:rPr>
              <w:t>Tennessee</w:t>
            </w:r>
          </w:p>
        </w:tc>
        <w:tc>
          <w:tcPr>
            <w:tcW w:w="1193" w:type="dxa"/>
            <w:vAlign w:val="center"/>
          </w:tcPr>
          <w:p w:rsidR="00565A34" w:rsidRPr="000D7FA9" w:rsidRDefault="00565A34" w:rsidP="00B20BF9">
            <w:pPr>
              <w:jc w:val="center"/>
              <w:rPr>
                <w:rFonts w:cstheme="minorHAnsi"/>
                <w:bCs/>
                <w:sz w:val="16"/>
                <w:szCs w:val="16"/>
              </w:rPr>
            </w:pPr>
            <w:r>
              <w:rPr>
                <w:rFonts w:cstheme="minorHAnsi"/>
                <w:bCs/>
                <w:sz w:val="16"/>
                <w:szCs w:val="16"/>
              </w:rPr>
              <w:t>HB 1684/</w:t>
            </w:r>
            <w:r w:rsidRPr="000D7FA9">
              <w:rPr>
                <w:rFonts w:cstheme="minorHAnsi"/>
                <w:bCs/>
                <w:sz w:val="16"/>
                <w:szCs w:val="16"/>
              </w:rPr>
              <w:t xml:space="preserve"> SB 1481</w:t>
            </w:r>
            <w:r w:rsidR="00B20BF9">
              <w:rPr>
                <w:rFonts w:cstheme="minorHAnsi"/>
                <w:bCs/>
                <w:sz w:val="16"/>
                <w:szCs w:val="16"/>
              </w:rPr>
              <w:t xml:space="preserve"> </w:t>
            </w:r>
          </w:p>
        </w:tc>
        <w:tc>
          <w:tcPr>
            <w:tcW w:w="3060" w:type="dxa"/>
          </w:tcPr>
          <w:p w:rsidR="00565A34" w:rsidRPr="009472EE" w:rsidRDefault="00565A34" w:rsidP="005864F3">
            <w:pPr>
              <w:rPr>
                <w:rFonts w:cstheme="minorHAnsi"/>
                <w:b/>
                <w:sz w:val="16"/>
                <w:szCs w:val="16"/>
              </w:rPr>
            </w:pPr>
            <w:r>
              <w:rPr>
                <w:rFonts w:cstheme="minorHAnsi"/>
                <w:sz w:val="16"/>
                <w:szCs w:val="16"/>
              </w:rPr>
              <w:t>SB 1481 was</w:t>
            </w:r>
            <w:r w:rsidRPr="000D7FA9">
              <w:rPr>
                <w:rFonts w:cstheme="minorHAnsi"/>
                <w:sz w:val="16"/>
                <w:szCs w:val="16"/>
              </w:rPr>
              <w:t xml:space="preserve"> introduced on January 1</w:t>
            </w:r>
            <w:r>
              <w:rPr>
                <w:rFonts w:cstheme="minorHAnsi"/>
                <w:sz w:val="16"/>
                <w:szCs w:val="16"/>
              </w:rPr>
              <w:t>4</w:t>
            </w:r>
            <w:r w:rsidRPr="000D7FA9">
              <w:rPr>
                <w:rFonts w:cstheme="minorHAnsi"/>
                <w:sz w:val="16"/>
                <w:szCs w:val="16"/>
              </w:rPr>
              <w:t>, 2014</w:t>
            </w:r>
            <w:r w:rsidR="005C140A">
              <w:rPr>
                <w:rFonts w:cstheme="minorHAnsi"/>
                <w:sz w:val="16"/>
                <w:szCs w:val="16"/>
              </w:rPr>
              <w:t xml:space="preserve">. </w:t>
            </w:r>
            <w:r>
              <w:rPr>
                <w:rFonts w:cstheme="minorHAnsi"/>
                <w:sz w:val="16"/>
                <w:szCs w:val="16"/>
              </w:rPr>
              <w:t xml:space="preserve">HB 1684 was introduced on January 22.  </w:t>
            </w:r>
            <w:r w:rsidR="00B20BF9">
              <w:rPr>
                <w:rFonts w:cstheme="minorHAnsi"/>
                <w:b/>
                <w:sz w:val="16"/>
                <w:szCs w:val="16"/>
              </w:rPr>
              <w:t>SB 1481 was signed into law by Governor Bill Haslam on May 19, 2014.</w:t>
            </w:r>
            <w:r w:rsidR="007003D1">
              <w:rPr>
                <w:rFonts w:cstheme="minorHAnsi"/>
                <w:b/>
                <w:sz w:val="16"/>
                <w:szCs w:val="16"/>
              </w:rPr>
              <w:t xml:space="preserve">  The law will take effect on January 1, 2015.</w:t>
            </w:r>
          </w:p>
        </w:tc>
        <w:tc>
          <w:tcPr>
            <w:tcW w:w="1170" w:type="dxa"/>
            <w:gridSpan w:val="2"/>
            <w:vAlign w:val="center"/>
          </w:tcPr>
          <w:p w:rsidR="00565A34" w:rsidRPr="000D7FA9" w:rsidRDefault="00565A34" w:rsidP="00565A34">
            <w:pP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Yes</w:t>
            </w:r>
          </w:p>
        </w:tc>
        <w:tc>
          <w:tcPr>
            <w:tcW w:w="1057" w:type="dxa"/>
            <w:vAlign w:val="center"/>
          </w:tcPr>
          <w:p w:rsidR="00565A34" w:rsidRPr="000D7FA9" w:rsidRDefault="00565A34" w:rsidP="005864F3">
            <w:pPr>
              <w:jc w:val="center"/>
              <w:rPr>
                <w:rFonts w:cstheme="minorHAnsi"/>
                <w:sz w:val="16"/>
                <w:szCs w:val="16"/>
              </w:rPr>
            </w:pPr>
            <w:r w:rsidRPr="000D7FA9">
              <w:rPr>
                <w:rFonts w:cstheme="minorHAnsi"/>
                <w:sz w:val="16"/>
                <w:szCs w:val="16"/>
              </w:rPr>
              <w:t>$</w:t>
            </w:r>
            <w:r>
              <w:rPr>
                <w:rFonts w:cstheme="minorHAnsi"/>
                <w:sz w:val="16"/>
                <w:szCs w:val="16"/>
              </w:rPr>
              <w:t>1 million</w:t>
            </w:r>
          </w:p>
        </w:tc>
        <w:tc>
          <w:tcPr>
            <w:tcW w:w="1013" w:type="dxa"/>
            <w:gridSpan w:val="2"/>
            <w:vAlign w:val="center"/>
          </w:tcPr>
          <w:p w:rsidR="00565A34" w:rsidRPr="000D7FA9" w:rsidRDefault="00565A34" w:rsidP="005864F3">
            <w:pPr>
              <w:jc w:val="center"/>
              <w:rPr>
                <w:rFonts w:cstheme="minorHAnsi"/>
                <w:sz w:val="16"/>
                <w:szCs w:val="16"/>
              </w:rPr>
            </w:pPr>
            <w:r w:rsidRPr="000D7FA9">
              <w:rPr>
                <w:rFonts w:cstheme="minorHAnsi"/>
                <w:sz w:val="16"/>
                <w:szCs w:val="16"/>
              </w:rPr>
              <w:t>$</w:t>
            </w:r>
            <w:r>
              <w:rPr>
                <w:rFonts w:cstheme="minorHAnsi"/>
                <w:sz w:val="16"/>
                <w:szCs w:val="16"/>
              </w:rPr>
              <w:t xml:space="preserve">10,000 </w:t>
            </w:r>
            <w:r w:rsidRPr="000D7FA9">
              <w:rPr>
                <w:rFonts w:cstheme="minorHAnsi"/>
                <w:sz w:val="16"/>
                <w:szCs w:val="16"/>
              </w:rPr>
              <w:t>unless accredited</w:t>
            </w:r>
          </w:p>
        </w:tc>
        <w:tc>
          <w:tcPr>
            <w:tcW w:w="1417" w:type="dxa"/>
            <w:vAlign w:val="center"/>
          </w:tcPr>
          <w:p w:rsidR="00565A34" w:rsidRDefault="00565A34" w:rsidP="00565A34">
            <w:pPr>
              <w:jc w:val="center"/>
              <w:rPr>
                <w:rFonts w:cstheme="minorHAnsi"/>
                <w:sz w:val="16"/>
                <w:szCs w:val="16"/>
              </w:rPr>
            </w:pPr>
          </w:p>
          <w:p w:rsidR="00565A34" w:rsidRPr="000D7FA9" w:rsidRDefault="00E8056B" w:rsidP="00565A34">
            <w:pPr>
              <w:jc w:val="center"/>
              <w:rPr>
                <w:rFonts w:cstheme="minorHAnsi"/>
                <w:sz w:val="16"/>
                <w:szCs w:val="16"/>
              </w:rPr>
            </w:pPr>
            <w:r>
              <w:rPr>
                <w:rFonts w:cstheme="minorHAnsi"/>
                <w:sz w:val="16"/>
                <w:szCs w:val="16"/>
              </w:rPr>
              <w:t>No (unless BD)</w:t>
            </w:r>
          </w:p>
        </w:tc>
        <w:tc>
          <w:tcPr>
            <w:tcW w:w="1463" w:type="dxa"/>
            <w:gridSpan w:val="2"/>
            <w:vAlign w:val="center"/>
          </w:tcPr>
          <w:p w:rsidR="00565A34" w:rsidRPr="000D7FA9" w:rsidRDefault="00565A34" w:rsidP="00565A34">
            <w:pPr>
              <w:jc w:val="center"/>
              <w:rPr>
                <w:rFonts w:cstheme="minorHAnsi"/>
                <w:sz w:val="16"/>
                <w:szCs w:val="16"/>
              </w:rPr>
            </w:pPr>
            <w:r w:rsidRPr="000D7FA9">
              <w:rPr>
                <w:rFonts w:cstheme="minorHAnsi"/>
                <w:sz w:val="16"/>
                <w:szCs w:val="16"/>
              </w:rPr>
              <w:t>Notice filing</w:t>
            </w:r>
          </w:p>
        </w:tc>
        <w:tc>
          <w:tcPr>
            <w:tcW w:w="697" w:type="dxa"/>
            <w:vAlign w:val="center"/>
          </w:tcPr>
          <w:p w:rsidR="00565A34" w:rsidRPr="000D7FA9" w:rsidRDefault="00565A34" w:rsidP="00565A34">
            <w:pP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Yes</w:t>
            </w:r>
          </w:p>
        </w:tc>
        <w:tc>
          <w:tcPr>
            <w:tcW w:w="1170" w:type="dxa"/>
            <w:vAlign w:val="center"/>
          </w:tcPr>
          <w:p w:rsidR="00565A34" w:rsidRPr="000D7FA9" w:rsidRDefault="00565A34" w:rsidP="00565A34">
            <w:pPr>
              <w:jc w:val="center"/>
              <w:rPr>
                <w:rFonts w:cstheme="minorHAnsi"/>
                <w:sz w:val="16"/>
                <w:szCs w:val="16"/>
              </w:rPr>
            </w:pPr>
          </w:p>
        </w:tc>
        <w:tc>
          <w:tcPr>
            <w:tcW w:w="1170" w:type="dxa"/>
          </w:tcPr>
          <w:p w:rsidR="00565A34" w:rsidRPr="000D7FA9" w:rsidRDefault="00565A34" w:rsidP="00565A34">
            <w:pPr>
              <w:jc w:val="center"/>
              <w:rPr>
                <w:rFonts w:cstheme="minorHAnsi"/>
                <w:sz w:val="16"/>
                <w:szCs w:val="16"/>
              </w:rPr>
            </w:pPr>
          </w:p>
        </w:tc>
        <w:tc>
          <w:tcPr>
            <w:tcW w:w="1283" w:type="dxa"/>
            <w:vAlign w:val="center"/>
          </w:tcPr>
          <w:p w:rsidR="00565A34" w:rsidRPr="000D7FA9" w:rsidRDefault="005C140A" w:rsidP="00565A34">
            <w:pPr>
              <w:jc w:val="center"/>
              <w:rPr>
                <w:rFonts w:cstheme="minorHAnsi"/>
                <w:sz w:val="16"/>
                <w:szCs w:val="16"/>
              </w:rPr>
            </w:pPr>
            <w:r>
              <w:rPr>
                <w:rFonts w:cstheme="minorHAnsi"/>
                <w:sz w:val="16"/>
                <w:szCs w:val="16"/>
              </w:rPr>
              <w:t>Yes – 25 sale exemption</w:t>
            </w:r>
          </w:p>
        </w:tc>
      </w:tr>
      <w:tr w:rsidR="00565A34" w:rsidRPr="000D7FA9" w:rsidTr="00174AA1">
        <w:trPr>
          <w:cantSplit/>
          <w:trHeight w:val="962"/>
          <w:jc w:val="center"/>
        </w:trPr>
        <w:tc>
          <w:tcPr>
            <w:tcW w:w="1075" w:type="dxa"/>
          </w:tcPr>
          <w:p w:rsidR="00565A34" w:rsidRDefault="00565A34" w:rsidP="00565A34">
            <w:pPr>
              <w:rPr>
                <w:rFonts w:cstheme="minorHAnsi"/>
                <w:sz w:val="16"/>
                <w:szCs w:val="16"/>
              </w:rPr>
            </w:pPr>
          </w:p>
          <w:p w:rsidR="00565A34" w:rsidRDefault="00565A34" w:rsidP="00565A34">
            <w:pPr>
              <w:rPr>
                <w:rFonts w:cstheme="minorHAnsi"/>
                <w:sz w:val="16"/>
                <w:szCs w:val="16"/>
              </w:rPr>
            </w:pPr>
          </w:p>
          <w:p w:rsidR="00565A34" w:rsidRPr="000D7FA9" w:rsidRDefault="00565A34" w:rsidP="005204C8">
            <w:pPr>
              <w:jc w:val="center"/>
              <w:rPr>
                <w:rFonts w:cstheme="minorHAnsi"/>
                <w:sz w:val="16"/>
                <w:szCs w:val="16"/>
              </w:rPr>
            </w:pPr>
            <w:r>
              <w:rPr>
                <w:rFonts w:cstheme="minorHAnsi"/>
                <w:sz w:val="16"/>
                <w:szCs w:val="16"/>
              </w:rPr>
              <w:t>Tennessee</w:t>
            </w:r>
          </w:p>
        </w:tc>
        <w:tc>
          <w:tcPr>
            <w:tcW w:w="1193" w:type="dxa"/>
          </w:tcPr>
          <w:p w:rsidR="00565A34" w:rsidRDefault="00565A34" w:rsidP="00565A34">
            <w:pPr>
              <w:jc w:val="center"/>
              <w:rPr>
                <w:rFonts w:cstheme="minorHAnsi"/>
                <w:bCs/>
                <w:sz w:val="16"/>
                <w:szCs w:val="16"/>
              </w:rPr>
            </w:pPr>
          </w:p>
          <w:p w:rsidR="00565A34" w:rsidRDefault="00565A34" w:rsidP="00565A34">
            <w:pPr>
              <w:jc w:val="center"/>
              <w:rPr>
                <w:rFonts w:cstheme="minorHAnsi"/>
                <w:bCs/>
                <w:sz w:val="16"/>
                <w:szCs w:val="16"/>
              </w:rPr>
            </w:pPr>
          </w:p>
          <w:p w:rsidR="00565A34" w:rsidRPr="000D7FA9" w:rsidRDefault="00565A34" w:rsidP="00565A34">
            <w:pPr>
              <w:jc w:val="center"/>
              <w:rPr>
                <w:rFonts w:cstheme="minorHAnsi"/>
                <w:bCs/>
                <w:sz w:val="16"/>
                <w:szCs w:val="16"/>
              </w:rPr>
            </w:pPr>
            <w:r>
              <w:rPr>
                <w:rFonts w:cstheme="minorHAnsi"/>
                <w:bCs/>
                <w:sz w:val="16"/>
                <w:szCs w:val="16"/>
              </w:rPr>
              <w:t>HB 2363*/ SB 2440*</w:t>
            </w:r>
          </w:p>
        </w:tc>
        <w:tc>
          <w:tcPr>
            <w:tcW w:w="3060" w:type="dxa"/>
          </w:tcPr>
          <w:p w:rsidR="00565A34" w:rsidRPr="000D7FA9" w:rsidRDefault="00565A34" w:rsidP="00565A34">
            <w:pPr>
              <w:rPr>
                <w:rFonts w:cstheme="minorHAnsi"/>
                <w:sz w:val="16"/>
                <w:szCs w:val="16"/>
              </w:rPr>
            </w:pPr>
            <w:r>
              <w:rPr>
                <w:rFonts w:cstheme="minorHAnsi"/>
                <w:sz w:val="16"/>
                <w:szCs w:val="16"/>
              </w:rPr>
              <w:t>SB 2440 and HB 2363 were introduced on February 5, 2014.  In March 2014, both bills were placed on the respective Committee calendars in the Senate and House.</w:t>
            </w:r>
          </w:p>
        </w:tc>
        <w:tc>
          <w:tcPr>
            <w:tcW w:w="1170" w:type="dxa"/>
            <w:gridSpan w:val="2"/>
          </w:tcPr>
          <w:p w:rsidR="00565A34" w:rsidRDefault="00565A34" w:rsidP="00565A34">
            <w:pPr>
              <w:jc w:val="center"/>
              <w:rPr>
                <w:rFonts w:cstheme="minorHAnsi"/>
                <w:sz w:val="16"/>
                <w:szCs w:val="16"/>
              </w:rPr>
            </w:pPr>
          </w:p>
          <w:p w:rsidR="00565A34"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Pr>
                <w:rFonts w:cstheme="minorHAnsi"/>
                <w:sz w:val="16"/>
                <w:szCs w:val="16"/>
              </w:rPr>
              <w:t>Yes</w:t>
            </w:r>
          </w:p>
        </w:tc>
        <w:tc>
          <w:tcPr>
            <w:tcW w:w="1057" w:type="dxa"/>
          </w:tcPr>
          <w:p w:rsidR="00565A34" w:rsidRDefault="00565A34" w:rsidP="00565A34">
            <w:pPr>
              <w:jc w:val="center"/>
              <w:rPr>
                <w:rFonts w:cstheme="minorHAnsi"/>
                <w:sz w:val="16"/>
                <w:szCs w:val="16"/>
              </w:rPr>
            </w:pPr>
          </w:p>
          <w:p w:rsidR="00565A34"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Pr>
                <w:rFonts w:cstheme="minorHAnsi"/>
                <w:sz w:val="16"/>
                <w:szCs w:val="16"/>
              </w:rPr>
              <w:t>$500,000</w:t>
            </w:r>
          </w:p>
        </w:tc>
        <w:tc>
          <w:tcPr>
            <w:tcW w:w="1013" w:type="dxa"/>
            <w:gridSpan w:val="2"/>
          </w:tcPr>
          <w:p w:rsidR="00565A34" w:rsidRDefault="00565A34" w:rsidP="00565A34">
            <w:pPr>
              <w:rPr>
                <w:rFonts w:cstheme="minorHAnsi"/>
                <w:sz w:val="16"/>
                <w:szCs w:val="16"/>
              </w:rPr>
            </w:pPr>
          </w:p>
          <w:p w:rsidR="00565A34" w:rsidRDefault="00565A34" w:rsidP="00565A34">
            <w:pPr>
              <w:rPr>
                <w:rFonts w:cstheme="minorHAnsi"/>
                <w:sz w:val="16"/>
                <w:szCs w:val="16"/>
              </w:rPr>
            </w:pPr>
          </w:p>
          <w:p w:rsidR="00565A34" w:rsidRDefault="00565A34" w:rsidP="005C140A">
            <w:pPr>
              <w:jc w:val="center"/>
              <w:rPr>
                <w:rFonts w:cstheme="minorHAnsi"/>
                <w:sz w:val="16"/>
                <w:szCs w:val="16"/>
              </w:rPr>
            </w:pPr>
            <w:r>
              <w:rPr>
                <w:rFonts w:cstheme="minorHAnsi"/>
                <w:sz w:val="16"/>
                <w:szCs w:val="16"/>
              </w:rPr>
              <w:t>$5,000</w:t>
            </w:r>
          </w:p>
        </w:tc>
        <w:tc>
          <w:tcPr>
            <w:tcW w:w="1417" w:type="dxa"/>
            <w:vAlign w:val="center"/>
          </w:tcPr>
          <w:p w:rsidR="00565A34" w:rsidRPr="000D7FA9" w:rsidRDefault="00565A34" w:rsidP="00565A34">
            <w:pPr>
              <w:jc w:val="center"/>
              <w:rPr>
                <w:rFonts w:cstheme="minorHAnsi"/>
                <w:sz w:val="16"/>
                <w:szCs w:val="16"/>
              </w:rPr>
            </w:pPr>
          </w:p>
        </w:tc>
        <w:tc>
          <w:tcPr>
            <w:tcW w:w="1463" w:type="dxa"/>
            <w:gridSpan w:val="2"/>
          </w:tcPr>
          <w:p w:rsidR="00565A34" w:rsidRDefault="00565A34" w:rsidP="00565A34">
            <w:pPr>
              <w:jc w:val="center"/>
              <w:rPr>
                <w:rFonts w:cstheme="minorHAnsi"/>
                <w:sz w:val="16"/>
                <w:szCs w:val="16"/>
              </w:rPr>
            </w:pPr>
          </w:p>
          <w:p w:rsidR="00565A34"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Pr>
                <w:rFonts w:cstheme="minorHAnsi"/>
                <w:sz w:val="16"/>
                <w:szCs w:val="16"/>
              </w:rPr>
              <w:t>Notice filing</w:t>
            </w:r>
          </w:p>
        </w:tc>
        <w:tc>
          <w:tcPr>
            <w:tcW w:w="697" w:type="dxa"/>
          </w:tcPr>
          <w:p w:rsidR="00565A34" w:rsidRDefault="00565A34" w:rsidP="00565A34">
            <w:pPr>
              <w:jc w:val="center"/>
              <w:rPr>
                <w:rFonts w:cstheme="minorHAnsi"/>
                <w:sz w:val="16"/>
                <w:szCs w:val="16"/>
              </w:rPr>
            </w:pPr>
          </w:p>
          <w:p w:rsidR="00565A34"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Pr>
                <w:rFonts w:cstheme="minorHAnsi"/>
                <w:sz w:val="16"/>
                <w:szCs w:val="16"/>
              </w:rPr>
              <w:t>Yes</w:t>
            </w:r>
          </w:p>
        </w:tc>
        <w:tc>
          <w:tcPr>
            <w:tcW w:w="1170" w:type="dxa"/>
          </w:tcPr>
          <w:p w:rsidR="00565A34" w:rsidRPr="000D7FA9" w:rsidRDefault="00565A34" w:rsidP="00565A34">
            <w:pPr>
              <w:jc w:val="center"/>
              <w:rPr>
                <w:rFonts w:cstheme="minorHAnsi"/>
                <w:sz w:val="16"/>
                <w:szCs w:val="16"/>
              </w:rPr>
            </w:pPr>
          </w:p>
        </w:tc>
        <w:tc>
          <w:tcPr>
            <w:tcW w:w="1170" w:type="dxa"/>
          </w:tcPr>
          <w:p w:rsidR="00565A34" w:rsidRPr="000D7FA9" w:rsidRDefault="00565A34" w:rsidP="00565A34">
            <w:pPr>
              <w:jc w:val="center"/>
              <w:rPr>
                <w:rFonts w:cstheme="minorHAnsi"/>
                <w:sz w:val="16"/>
                <w:szCs w:val="16"/>
              </w:rPr>
            </w:pPr>
          </w:p>
        </w:tc>
        <w:tc>
          <w:tcPr>
            <w:tcW w:w="1283" w:type="dxa"/>
            <w:vAlign w:val="center"/>
          </w:tcPr>
          <w:p w:rsidR="00565A34" w:rsidRPr="000D7FA9" w:rsidRDefault="00565A34" w:rsidP="00565A34">
            <w:pPr>
              <w:jc w:val="center"/>
              <w:rPr>
                <w:rFonts w:cstheme="minorHAnsi"/>
                <w:sz w:val="16"/>
                <w:szCs w:val="16"/>
              </w:rPr>
            </w:pPr>
            <w:r>
              <w:rPr>
                <w:rFonts w:cstheme="minorHAnsi"/>
                <w:sz w:val="16"/>
                <w:szCs w:val="16"/>
              </w:rPr>
              <w:t>Yes – 25 sale exemption</w:t>
            </w:r>
          </w:p>
        </w:tc>
      </w:tr>
      <w:tr w:rsidR="0022463D" w:rsidRPr="000D7FA9" w:rsidTr="00174AA1">
        <w:trPr>
          <w:cantSplit/>
          <w:trHeight w:val="962"/>
          <w:jc w:val="center"/>
        </w:trPr>
        <w:tc>
          <w:tcPr>
            <w:tcW w:w="1075" w:type="dxa"/>
            <w:vAlign w:val="center"/>
          </w:tcPr>
          <w:p w:rsidR="0022463D" w:rsidRDefault="0022463D" w:rsidP="00B20BF9">
            <w:pPr>
              <w:jc w:val="center"/>
              <w:rPr>
                <w:rFonts w:cstheme="minorHAnsi"/>
                <w:sz w:val="16"/>
                <w:szCs w:val="16"/>
              </w:rPr>
            </w:pPr>
            <w:r>
              <w:rPr>
                <w:rFonts w:cstheme="minorHAnsi"/>
                <w:sz w:val="16"/>
                <w:szCs w:val="16"/>
              </w:rPr>
              <w:t>Texas</w:t>
            </w:r>
          </w:p>
        </w:tc>
        <w:tc>
          <w:tcPr>
            <w:tcW w:w="1193" w:type="dxa"/>
            <w:vAlign w:val="center"/>
          </w:tcPr>
          <w:p w:rsidR="0022463D" w:rsidRDefault="0022463D" w:rsidP="00B20BF9">
            <w:pPr>
              <w:jc w:val="center"/>
              <w:rPr>
                <w:rFonts w:cstheme="minorHAnsi"/>
                <w:bCs/>
                <w:sz w:val="16"/>
                <w:szCs w:val="16"/>
              </w:rPr>
            </w:pPr>
            <w:r>
              <w:rPr>
                <w:rFonts w:cstheme="minorHAnsi"/>
                <w:bCs/>
                <w:sz w:val="16"/>
                <w:szCs w:val="16"/>
              </w:rPr>
              <w:t>Proposed Exemption*</w:t>
            </w:r>
          </w:p>
        </w:tc>
        <w:tc>
          <w:tcPr>
            <w:tcW w:w="3060" w:type="dxa"/>
            <w:vAlign w:val="center"/>
          </w:tcPr>
          <w:p w:rsidR="0022463D" w:rsidRDefault="0022463D" w:rsidP="00DC3489">
            <w:pPr>
              <w:rPr>
                <w:rFonts w:cstheme="minorHAnsi"/>
                <w:sz w:val="16"/>
                <w:szCs w:val="16"/>
              </w:rPr>
            </w:pPr>
            <w:r>
              <w:rPr>
                <w:rFonts w:cstheme="minorHAnsi"/>
                <w:sz w:val="16"/>
                <w:szCs w:val="16"/>
              </w:rPr>
              <w:t xml:space="preserve">The Texas State Securities Board proposed rules on intrastate </w:t>
            </w:r>
            <w:r w:rsidR="003158CF">
              <w:rPr>
                <w:rFonts w:cstheme="minorHAnsi"/>
                <w:sz w:val="16"/>
                <w:szCs w:val="16"/>
              </w:rPr>
              <w:t>crowdfunding on Apri</w:t>
            </w:r>
            <w:r w:rsidR="00DC3489">
              <w:rPr>
                <w:rFonts w:cstheme="minorHAnsi"/>
                <w:sz w:val="16"/>
                <w:szCs w:val="16"/>
              </w:rPr>
              <w:t>l 24, 2014.  The proposed rule</w:t>
            </w:r>
            <w:r w:rsidR="003158CF">
              <w:rPr>
                <w:rFonts w:cstheme="minorHAnsi"/>
                <w:sz w:val="16"/>
                <w:szCs w:val="16"/>
              </w:rPr>
              <w:t xml:space="preserve"> </w:t>
            </w:r>
            <w:r w:rsidR="00DC3489">
              <w:rPr>
                <w:rFonts w:cstheme="minorHAnsi"/>
                <w:sz w:val="16"/>
                <w:szCs w:val="16"/>
              </w:rPr>
              <w:t>was</w:t>
            </w:r>
            <w:r w:rsidR="003158CF">
              <w:rPr>
                <w:rFonts w:cstheme="minorHAnsi"/>
                <w:sz w:val="16"/>
                <w:szCs w:val="16"/>
              </w:rPr>
              <w:t xml:space="preserve"> open for comment for 60 days and is ex</w:t>
            </w:r>
            <w:r w:rsidR="00587DE1">
              <w:rPr>
                <w:rFonts w:cstheme="minorHAnsi"/>
                <w:sz w:val="16"/>
                <w:szCs w:val="16"/>
              </w:rPr>
              <w:t>pected to pass in final form at the Board’s</w:t>
            </w:r>
            <w:r w:rsidR="00DC3489">
              <w:rPr>
                <w:rFonts w:cstheme="minorHAnsi"/>
                <w:sz w:val="16"/>
                <w:szCs w:val="16"/>
              </w:rPr>
              <w:t xml:space="preserve"> </w:t>
            </w:r>
            <w:r w:rsidR="00587DE1">
              <w:rPr>
                <w:rFonts w:cstheme="minorHAnsi"/>
                <w:sz w:val="16"/>
                <w:szCs w:val="16"/>
              </w:rPr>
              <w:t>open meeting</w:t>
            </w:r>
            <w:r w:rsidR="00DC3489">
              <w:rPr>
                <w:rFonts w:cstheme="minorHAnsi"/>
                <w:sz w:val="16"/>
                <w:szCs w:val="16"/>
              </w:rPr>
              <w:t xml:space="preserve"> </w:t>
            </w:r>
            <w:r w:rsidR="003F0869">
              <w:rPr>
                <w:rFonts w:cstheme="minorHAnsi"/>
                <w:sz w:val="16"/>
                <w:szCs w:val="16"/>
              </w:rPr>
              <w:t>on</w:t>
            </w:r>
            <w:r w:rsidR="00DC3489">
              <w:rPr>
                <w:rFonts w:cstheme="minorHAnsi"/>
                <w:sz w:val="16"/>
                <w:szCs w:val="16"/>
              </w:rPr>
              <w:t xml:space="preserve"> October</w:t>
            </w:r>
            <w:r w:rsidR="003F0869">
              <w:rPr>
                <w:rFonts w:cstheme="minorHAnsi"/>
                <w:sz w:val="16"/>
                <w:szCs w:val="16"/>
              </w:rPr>
              <w:t xml:space="preserve"> 22</w:t>
            </w:r>
            <w:r w:rsidR="00DC3489">
              <w:rPr>
                <w:rFonts w:cstheme="minorHAnsi"/>
                <w:sz w:val="16"/>
                <w:szCs w:val="16"/>
              </w:rPr>
              <w:t>, 2014.</w:t>
            </w:r>
          </w:p>
        </w:tc>
        <w:tc>
          <w:tcPr>
            <w:tcW w:w="1170" w:type="dxa"/>
            <w:gridSpan w:val="2"/>
            <w:vAlign w:val="center"/>
          </w:tcPr>
          <w:p w:rsidR="00C30183" w:rsidRDefault="00C30183" w:rsidP="00CC5A50">
            <w:pPr>
              <w:jc w:val="center"/>
              <w:rPr>
                <w:rFonts w:cstheme="minorHAnsi"/>
                <w:sz w:val="16"/>
                <w:szCs w:val="16"/>
              </w:rPr>
            </w:pPr>
            <w:r>
              <w:rPr>
                <w:rFonts w:cstheme="minorHAnsi"/>
                <w:sz w:val="16"/>
                <w:szCs w:val="16"/>
              </w:rPr>
              <w:t>Yes</w:t>
            </w:r>
          </w:p>
        </w:tc>
        <w:tc>
          <w:tcPr>
            <w:tcW w:w="1057" w:type="dxa"/>
            <w:vAlign w:val="center"/>
          </w:tcPr>
          <w:p w:rsidR="002B65BF" w:rsidRDefault="002B65BF" w:rsidP="00CC5A50">
            <w:pPr>
              <w:jc w:val="center"/>
              <w:rPr>
                <w:rFonts w:cstheme="minorHAnsi"/>
                <w:sz w:val="16"/>
                <w:szCs w:val="16"/>
              </w:rPr>
            </w:pPr>
            <w:r>
              <w:rPr>
                <w:rFonts w:cstheme="minorHAnsi"/>
                <w:sz w:val="16"/>
                <w:szCs w:val="16"/>
              </w:rPr>
              <w:t>$1 million</w:t>
            </w:r>
          </w:p>
        </w:tc>
        <w:tc>
          <w:tcPr>
            <w:tcW w:w="1013" w:type="dxa"/>
            <w:gridSpan w:val="2"/>
            <w:vAlign w:val="center"/>
          </w:tcPr>
          <w:p w:rsidR="002B753A" w:rsidRDefault="002B753A" w:rsidP="00CC5A50">
            <w:pPr>
              <w:jc w:val="center"/>
              <w:rPr>
                <w:rFonts w:cstheme="minorHAnsi"/>
                <w:sz w:val="16"/>
                <w:szCs w:val="16"/>
              </w:rPr>
            </w:pPr>
            <w:r>
              <w:rPr>
                <w:rFonts w:cstheme="minorHAnsi"/>
                <w:sz w:val="16"/>
                <w:szCs w:val="16"/>
              </w:rPr>
              <w:t>$5,000</w:t>
            </w:r>
            <w:r w:rsidR="00C30183">
              <w:rPr>
                <w:rFonts w:cstheme="minorHAnsi"/>
                <w:sz w:val="16"/>
                <w:szCs w:val="16"/>
              </w:rPr>
              <w:t xml:space="preserve"> unless accredited</w:t>
            </w:r>
          </w:p>
        </w:tc>
        <w:tc>
          <w:tcPr>
            <w:tcW w:w="1417" w:type="dxa"/>
            <w:vAlign w:val="center"/>
          </w:tcPr>
          <w:p w:rsidR="0022463D" w:rsidRDefault="0094059A" w:rsidP="002A42C5">
            <w:pPr>
              <w:jc w:val="center"/>
              <w:rPr>
                <w:rFonts w:cstheme="minorHAnsi"/>
                <w:sz w:val="16"/>
                <w:szCs w:val="16"/>
              </w:rPr>
            </w:pPr>
            <w:r>
              <w:rPr>
                <w:rFonts w:cstheme="minorHAnsi"/>
                <w:sz w:val="16"/>
                <w:szCs w:val="16"/>
              </w:rPr>
              <w:t>No (unless BD</w:t>
            </w:r>
            <w:r w:rsidR="009315FC">
              <w:rPr>
                <w:rFonts w:cstheme="minorHAnsi"/>
                <w:sz w:val="16"/>
                <w:szCs w:val="16"/>
              </w:rPr>
              <w:t xml:space="preserve"> or intrastate</w:t>
            </w:r>
            <w:r w:rsidR="002A42C5">
              <w:rPr>
                <w:rFonts w:cstheme="minorHAnsi"/>
                <w:sz w:val="16"/>
                <w:szCs w:val="16"/>
              </w:rPr>
              <w:t xml:space="preserve"> TX</w:t>
            </w:r>
            <w:r w:rsidR="009315FC">
              <w:rPr>
                <w:rFonts w:cstheme="minorHAnsi"/>
                <w:sz w:val="16"/>
                <w:szCs w:val="16"/>
              </w:rPr>
              <w:t xml:space="preserve"> BD</w:t>
            </w:r>
            <w:r>
              <w:rPr>
                <w:rFonts w:cstheme="minorHAnsi"/>
                <w:sz w:val="16"/>
                <w:szCs w:val="16"/>
              </w:rPr>
              <w:t>)</w:t>
            </w:r>
          </w:p>
        </w:tc>
        <w:tc>
          <w:tcPr>
            <w:tcW w:w="1463" w:type="dxa"/>
            <w:gridSpan w:val="2"/>
            <w:vAlign w:val="center"/>
          </w:tcPr>
          <w:p w:rsidR="004C78FE" w:rsidRPr="000D7FA9" w:rsidRDefault="004C78FE" w:rsidP="00CC5A50">
            <w:pPr>
              <w:jc w:val="center"/>
              <w:rPr>
                <w:rFonts w:cstheme="minorHAnsi"/>
                <w:sz w:val="16"/>
                <w:szCs w:val="16"/>
              </w:rPr>
            </w:pPr>
            <w:r>
              <w:rPr>
                <w:rFonts w:cstheme="minorHAnsi"/>
                <w:sz w:val="16"/>
                <w:szCs w:val="16"/>
              </w:rPr>
              <w:t>Notice filing</w:t>
            </w:r>
          </w:p>
        </w:tc>
        <w:tc>
          <w:tcPr>
            <w:tcW w:w="697" w:type="dxa"/>
            <w:vAlign w:val="center"/>
          </w:tcPr>
          <w:p w:rsidR="007A6FC9" w:rsidRPr="000D7FA9" w:rsidRDefault="007A6FC9" w:rsidP="00CC5A50">
            <w:pPr>
              <w:jc w:val="center"/>
              <w:rPr>
                <w:rFonts w:cstheme="minorHAnsi"/>
                <w:sz w:val="16"/>
                <w:szCs w:val="16"/>
              </w:rPr>
            </w:pPr>
            <w:r>
              <w:rPr>
                <w:rFonts w:cstheme="minorHAnsi"/>
                <w:sz w:val="16"/>
                <w:szCs w:val="16"/>
              </w:rPr>
              <w:t>Yes</w:t>
            </w:r>
          </w:p>
        </w:tc>
        <w:tc>
          <w:tcPr>
            <w:tcW w:w="1170" w:type="dxa"/>
            <w:vAlign w:val="center"/>
          </w:tcPr>
          <w:p w:rsidR="00573237" w:rsidRPr="000D7FA9" w:rsidRDefault="00573237" w:rsidP="002A42C5">
            <w:pPr>
              <w:jc w:val="center"/>
              <w:rPr>
                <w:rFonts w:cstheme="minorHAnsi"/>
                <w:sz w:val="16"/>
                <w:szCs w:val="16"/>
              </w:rPr>
            </w:pPr>
            <w:r>
              <w:rPr>
                <w:rFonts w:cstheme="minorHAnsi"/>
                <w:sz w:val="16"/>
                <w:szCs w:val="16"/>
              </w:rPr>
              <w:t>Yes</w:t>
            </w:r>
            <w:r w:rsidR="0045754C">
              <w:rPr>
                <w:rFonts w:cstheme="minorHAnsi"/>
                <w:sz w:val="16"/>
                <w:szCs w:val="16"/>
              </w:rPr>
              <w:t xml:space="preserve"> </w:t>
            </w:r>
            <w:r w:rsidR="009315FC">
              <w:rPr>
                <w:rFonts w:cstheme="minorHAnsi"/>
                <w:sz w:val="16"/>
                <w:szCs w:val="16"/>
              </w:rPr>
              <w:t xml:space="preserve">– Portal mandated </w:t>
            </w:r>
            <w:r w:rsidR="0045754C">
              <w:rPr>
                <w:rFonts w:cstheme="minorHAnsi"/>
                <w:sz w:val="16"/>
                <w:szCs w:val="16"/>
              </w:rPr>
              <w:t>(TX-based platforms only, and light registration)</w:t>
            </w:r>
          </w:p>
        </w:tc>
        <w:tc>
          <w:tcPr>
            <w:tcW w:w="1170" w:type="dxa"/>
            <w:vAlign w:val="center"/>
          </w:tcPr>
          <w:p w:rsidR="0022463D" w:rsidRPr="000D7FA9" w:rsidRDefault="0094059A" w:rsidP="00E05D94">
            <w:pPr>
              <w:jc w:val="center"/>
              <w:rPr>
                <w:rFonts w:cstheme="minorHAnsi"/>
                <w:sz w:val="16"/>
                <w:szCs w:val="16"/>
              </w:rPr>
            </w:pPr>
            <w:r>
              <w:rPr>
                <w:rFonts w:cstheme="minorHAnsi"/>
                <w:sz w:val="16"/>
                <w:szCs w:val="16"/>
              </w:rPr>
              <w:t xml:space="preserve">Yes—a portal is subject to dealer </w:t>
            </w:r>
            <w:r w:rsidR="00E05D94">
              <w:rPr>
                <w:rFonts w:cstheme="minorHAnsi"/>
                <w:sz w:val="16"/>
                <w:szCs w:val="16"/>
              </w:rPr>
              <w:t>/</w:t>
            </w:r>
            <w:r>
              <w:rPr>
                <w:rFonts w:cstheme="minorHAnsi"/>
                <w:sz w:val="16"/>
                <w:szCs w:val="16"/>
              </w:rPr>
              <w:t xml:space="preserve"> agent post-reporting requirements</w:t>
            </w:r>
          </w:p>
        </w:tc>
        <w:tc>
          <w:tcPr>
            <w:tcW w:w="1283" w:type="dxa"/>
            <w:vAlign w:val="center"/>
          </w:tcPr>
          <w:p w:rsidR="0022463D" w:rsidRPr="000D7FA9" w:rsidRDefault="0022463D" w:rsidP="002A42C5">
            <w:pPr>
              <w:jc w:val="center"/>
              <w:rPr>
                <w:rFonts w:cstheme="minorHAnsi"/>
                <w:sz w:val="16"/>
                <w:szCs w:val="16"/>
              </w:rPr>
            </w:pPr>
          </w:p>
        </w:tc>
      </w:tr>
      <w:tr w:rsidR="00565A34" w:rsidRPr="000D7FA9" w:rsidTr="00174AA1">
        <w:trPr>
          <w:cantSplit/>
          <w:trHeight w:val="962"/>
          <w:jc w:val="center"/>
        </w:trPr>
        <w:tc>
          <w:tcPr>
            <w:tcW w:w="1075" w:type="dxa"/>
          </w:tcPr>
          <w:p w:rsidR="00565A34" w:rsidRDefault="00565A34" w:rsidP="00565A34">
            <w:pPr>
              <w:rPr>
                <w:rFonts w:cstheme="minorHAnsi"/>
                <w:sz w:val="16"/>
                <w:szCs w:val="16"/>
              </w:rPr>
            </w:pPr>
          </w:p>
          <w:p w:rsidR="00565A34" w:rsidRDefault="00565A34" w:rsidP="00565A34">
            <w:pPr>
              <w:rPr>
                <w:rFonts w:cstheme="minorHAnsi"/>
                <w:sz w:val="16"/>
                <w:szCs w:val="16"/>
              </w:rPr>
            </w:pPr>
          </w:p>
          <w:p w:rsidR="00565A34" w:rsidRPr="00723001" w:rsidRDefault="00565A34" w:rsidP="0022463D">
            <w:pPr>
              <w:jc w:val="center"/>
              <w:rPr>
                <w:rFonts w:cstheme="minorHAnsi"/>
                <w:sz w:val="16"/>
                <w:szCs w:val="16"/>
              </w:rPr>
            </w:pPr>
            <w:r>
              <w:rPr>
                <w:rFonts w:cstheme="minorHAnsi"/>
                <w:sz w:val="16"/>
                <w:szCs w:val="16"/>
              </w:rPr>
              <w:t>Utah</w:t>
            </w:r>
          </w:p>
        </w:tc>
        <w:tc>
          <w:tcPr>
            <w:tcW w:w="1193" w:type="dxa"/>
          </w:tcPr>
          <w:p w:rsidR="00565A34" w:rsidRDefault="00565A34" w:rsidP="00565A34">
            <w:pPr>
              <w:jc w:val="center"/>
              <w:rPr>
                <w:rFonts w:cstheme="minorHAnsi"/>
                <w:bCs/>
                <w:sz w:val="16"/>
                <w:szCs w:val="16"/>
              </w:rPr>
            </w:pPr>
          </w:p>
          <w:p w:rsidR="00565A34" w:rsidRDefault="00565A34" w:rsidP="00565A34">
            <w:pPr>
              <w:jc w:val="center"/>
              <w:rPr>
                <w:rFonts w:cstheme="minorHAnsi"/>
                <w:bCs/>
                <w:sz w:val="16"/>
                <w:szCs w:val="16"/>
              </w:rPr>
            </w:pPr>
          </w:p>
          <w:p w:rsidR="00565A34" w:rsidRPr="000D7FA9" w:rsidRDefault="00565A34" w:rsidP="00565A34">
            <w:pPr>
              <w:jc w:val="center"/>
              <w:rPr>
                <w:rFonts w:cstheme="minorHAnsi"/>
                <w:bCs/>
                <w:sz w:val="16"/>
                <w:szCs w:val="16"/>
              </w:rPr>
            </w:pPr>
            <w:r>
              <w:rPr>
                <w:rFonts w:cstheme="minorHAnsi"/>
                <w:bCs/>
                <w:sz w:val="16"/>
                <w:szCs w:val="16"/>
              </w:rPr>
              <w:t>HB 142*</w:t>
            </w:r>
          </w:p>
        </w:tc>
        <w:tc>
          <w:tcPr>
            <w:tcW w:w="3060" w:type="dxa"/>
          </w:tcPr>
          <w:p w:rsidR="00565A34" w:rsidRPr="000D7FA9" w:rsidRDefault="00565A34" w:rsidP="00565A34">
            <w:pPr>
              <w:rPr>
                <w:rFonts w:cstheme="minorHAnsi"/>
                <w:sz w:val="16"/>
                <w:szCs w:val="16"/>
              </w:rPr>
            </w:pPr>
            <w:r>
              <w:rPr>
                <w:rFonts w:cstheme="minorHAnsi"/>
                <w:sz w:val="16"/>
                <w:szCs w:val="16"/>
              </w:rPr>
              <w:t>HB 142 was introduced on February 17, 2014.  HB 142 received its first reading on February 18, received a second reading on February 25, and was filed in HFILE on March 13, 2014.</w:t>
            </w:r>
          </w:p>
        </w:tc>
        <w:tc>
          <w:tcPr>
            <w:tcW w:w="1170" w:type="dxa"/>
            <w:gridSpan w:val="2"/>
          </w:tcPr>
          <w:p w:rsidR="00565A34" w:rsidRDefault="00565A34" w:rsidP="00565A34">
            <w:pPr>
              <w:jc w:val="center"/>
              <w:rPr>
                <w:rFonts w:cstheme="minorHAnsi"/>
                <w:sz w:val="16"/>
                <w:szCs w:val="16"/>
              </w:rPr>
            </w:pPr>
          </w:p>
          <w:p w:rsidR="00565A34"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p>
        </w:tc>
        <w:tc>
          <w:tcPr>
            <w:tcW w:w="1057" w:type="dxa"/>
          </w:tcPr>
          <w:p w:rsidR="00565A34" w:rsidRDefault="00565A34" w:rsidP="00565A34">
            <w:pPr>
              <w:jc w:val="center"/>
              <w:rPr>
                <w:rFonts w:cstheme="minorHAnsi"/>
                <w:sz w:val="16"/>
                <w:szCs w:val="16"/>
              </w:rPr>
            </w:pPr>
          </w:p>
          <w:p w:rsidR="00565A34"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Pr>
                <w:rFonts w:cstheme="minorHAnsi"/>
                <w:sz w:val="16"/>
                <w:szCs w:val="16"/>
              </w:rPr>
              <w:t>$1 million</w:t>
            </w:r>
          </w:p>
        </w:tc>
        <w:tc>
          <w:tcPr>
            <w:tcW w:w="1013" w:type="dxa"/>
            <w:gridSpan w:val="2"/>
          </w:tcPr>
          <w:p w:rsidR="00565A34" w:rsidRDefault="00565A34" w:rsidP="00565A34">
            <w:pPr>
              <w:rPr>
                <w:rFonts w:cstheme="minorHAnsi"/>
                <w:sz w:val="16"/>
                <w:szCs w:val="16"/>
              </w:rPr>
            </w:pPr>
          </w:p>
          <w:p w:rsidR="00565A34" w:rsidRDefault="00565A34" w:rsidP="00565A34">
            <w:pPr>
              <w:rPr>
                <w:rFonts w:cstheme="minorHAnsi"/>
                <w:sz w:val="16"/>
                <w:szCs w:val="16"/>
              </w:rPr>
            </w:pPr>
          </w:p>
          <w:p w:rsidR="00565A34" w:rsidRDefault="00565A34" w:rsidP="00565A34">
            <w:pPr>
              <w:rPr>
                <w:rFonts w:cstheme="minorHAnsi"/>
                <w:sz w:val="16"/>
                <w:szCs w:val="16"/>
              </w:rPr>
            </w:pPr>
          </w:p>
        </w:tc>
        <w:tc>
          <w:tcPr>
            <w:tcW w:w="1417" w:type="dxa"/>
            <w:vAlign w:val="center"/>
          </w:tcPr>
          <w:p w:rsidR="00565A34" w:rsidRPr="000D7FA9" w:rsidRDefault="00565A34" w:rsidP="00565A34">
            <w:pPr>
              <w:jc w:val="center"/>
              <w:rPr>
                <w:rFonts w:cstheme="minorHAnsi"/>
                <w:sz w:val="16"/>
                <w:szCs w:val="16"/>
              </w:rPr>
            </w:pPr>
            <w:r>
              <w:rPr>
                <w:rFonts w:cstheme="minorHAnsi"/>
                <w:sz w:val="16"/>
                <w:szCs w:val="16"/>
              </w:rPr>
              <w:t>No (unless BD)</w:t>
            </w:r>
          </w:p>
        </w:tc>
        <w:tc>
          <w:tcPr>
            <w:tcW w:w="1463" w:type="dxa"/>
            <w:gridSpan w:val="2"/>
          </w:tcPr>
          <w:p w:rsidR="00565A34" w:rsidRPr="000D7FA9" w:rsidRDefault="00565A34" w:rsidP="00565A34">
            <w:pPr>
              <w:jc w:val="center"/>
              <w:rPr>
                <w:rFonts w:cstheme="minorHAnsi"/>
                <w:sz w:val="16"/>
                <w:szCs w:val="16"/>
              </w:rPr>
            </w:pPr>
          </w:p>
        </w:tc>
        <w:tc>
          <w:tcPr>
            <w:tcW w:w="697" w:type="dxa"/>
          </w:tcPr>
          <w:p w:rsidR="00565A34" w:rsidRPr="000D7FA9" w:rsidRDefault="00565A34" w:rsidP="00565A34">
            <w:pPr>
              <w:jc w:val="center"/>
              <w:rPr>
                <w:rFonts w:cstheme="minorHAnsi"/>
                <w:sz w:val="16"/>
                <w:szCs w:val="16"/>
              </w:rPr>
            </w:pPr>
          </w:p>
        </w:tc>
        <w:tc>
          <w:tcPr>
            <w:tcW w:w="1170" w:type="dxa"/>
          </w:tcPr>
          <w:p w:rsidR="00565A34" w:rsidRPr="000D7FA9" w:rsidRDefault="00565A34" w:rsidP="00565A34">
            <w:pPr>
              <w:jc w:val="center"/>
              <w:rPr>
                <w:rFonts w:cstheme="minorHAnsi"/>
                <w:sz w:val="16"/>
                <w:szCs w:val="16"/>
              </w:rPr>
            </w:pPr>
          </w:p>
        </w:tc>
        <w:tc>
          <w:tcPr>
            <w:tcW w:w="1170" w:type="dxa"/>
          </w:tcPr>
          <w:p w:rsidR="00565A34" w:rsidRPr="000D7FA9" w:rsidRDefault="00565A34" w:rsidP="00565A34">
            <w:pPr>
              <w:jc w:val="center"/>
              <w:rPr>
                <w:rFonts w:cstheme="minorHAnsi"/>
                <w:sz w:val="16"/>
                <w:szCs w:val="16"/>
              </w:rPr>
            </w:pPr>
          </w:p>
        </w:tc>
        <w:tc>
          <w:tcPr>
            <w:tcW w:w="1283" w:type="dxa"/>
            <w:vAlign w:val="center"/>
          </w:tcPr>
          <w:p w:rsidR="00565A34" w:rsidRPr="000D7FA9" w:rsidRDefault="00565A34" w:rsidP="00565A34">
            <w:pPr>
              <w:jc w:val="center"/>
              <w:rPr>
                <w:rFonts w:cstheme="minorHAnsi"/>
                <w:sz w:val="16"/>
                <w:szCs w:val="16"/>
              </w:rPr>
            </w:pPr>
          </w:p>
        </w:tc>
      </w:tr>
      <w:tr w:rsidR="00565A34" w:rsidRPr="000D7FA9" w:rsidTr="00174AA1">
        <w:trPr>
          <w:cantSplit/>
          <w:trHeight w:val="962"/>
          <w:jc w:val="center"/>
        </w:trPr>
        <w:tc>
          <w:tcPr>
            <w:tcW w:w="1075" w:type="dxa"/>
          </w:tcPr>
          <w:p w:rsidR="00565A34" w:rsidRPr="000D7FA9" w:rsidRDefault="00565A34" w:rsidP="00565A34">
            <w:pPr>
              <w:rPr>
                <w:rFonts w:cstheme="minorHAnsi"/>
                <w:sz w:val="16"/>
                <w:szCs w:val="16"/>
              </w:rPr>
            </w:pPr>
          </w:p>
          <w:p w:rsidR="00565A34" w:rsidRDefault="00565A34" w:rsidP="00565A34">
            <w:pPr>
              <w:rPr>
                <w:rFonts w:cstheme="minorHAnsi"/>
                <w:sz w:val="16"/>
                <w:szCs w:val="16"/>
              </w:rPr>
            </w:pPr>
          </w:p>
          <w:p w:rsidR="00565A34" w:rsidRPr="000D7FA9" w:rsidRDefault="00565A34" w:rsidP="00565A34">
            <w:pP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Virginia</w:t>
            </w:r>
          </w:p>
        </w:tc>
        <w:tc>
          <w:tcPr>
            <w:tcW w:w="1193" w:type="dxa"/>
          </w:tcPr>
          <w:p w:rsidR="00565A34" w:rsidRPr="000D7FA9" w:rsidRDefault="00565A34" w:rsidP="00565A34">
            <w:pPr>
              <w:jc w:val="center"/>
              <w:rPr>
                <w:rFonts w:cstheme="minorHAnsi"/>
                <w:bCs/>
                <w:sz w:val="16"/>
                <w:szCs w:val="16"/>
              </w:rPr>
            </w:pPr>
          </w:p>
          <w:p w:rsidR="00565A34" w:rsidRDefault="00565A34" w:rsidP="00565A34">
            <w:pPr>
              <w:rPr>
                <w:rFonts w:cstheme="minorHAnsi"/>
                <w:bCs/>
                <w:sz w:val="16"/>
                <w:szCs w:val="16"/>
              </w:rPr>
            </w:pPr>
          </w:p>
          <w:p w:rsidR="00565A34" w:rsidRPr="000D7FA9" w:rsidRDefault="00565A34" w:rsidP="00565A34">
            <w:pPr>
              <w:jc w:val="center"/>
              <w:rPr>
                <w:rFonts w:cstheme="minorHAnsi"/>
                <w:bCs/>
                <w:sz w:val="16"/>
                <w:szCs w:val="16"/>
              </w:rPr>
            </w:pPr>
          </w:p>
          <w:p w:rsidR="00565A34" w:rsidRPr="000D7FA9" w:rsidRDefault="00565A34" w:rsidP="00565A34">
            <w:pPr>
              <w:jc w:val="center"/>
              <w:rPr>
                <w:rFonts w:cstheme="minorHAnsi"/>
                <w:bCs/>
                <w:sz w:val="16"/>
                <w:szCs w:val="16"/>
              </w:rPr>
            </w:pPr>
            <w:r w:rsidRPr="000D7FA9">
              <w:rPr>
                <w:rFonts w:cstheme="minorHAnsi"/>
                <w:bCs/>
                <w:sz w:val="16"/>
                <w:szCs w:val="16"/>
              </w:rPr>
              <w:t>HB 880/SB 351</w:t>
            </w:r>
          </w:p>
        </w:tc>
        <w:tc>
          <w:tcPr>
            <w:tcW w:w="3060" w:type="dxa"/>
          </w:tcPr>
          <w:p w:rsidR="00565A34" w:rsidRPr="000D7FA9" w:rsidRDefault="00565A34" w:rsidP="00565A34">
            <w:pPr>
              <w:rPr>
                <w:rFonts w:cstheme="minorHAnsi"/>
                <w:sz w:val="16"/>
                <w:szCs w:val="16"/>
              </w:rPr>
            </w:pPr>
            <w:r w:rsidRPr="000D7FA9">
              <w:rPr>
                <w:rFonts w:cstheme="minorHAnsi"/>
                <w:sz w:val="16"/>
                <w:szCs w:val="16"/>
              </w:rPr>
              <w:t xml:space="preserve">Both bills were introduced in Virginia on January 8, 2014.  </w:t>
            </w:r>
            <w:r w:rsidRPr="005864F3">
              <w:rPr>
                <w:rFonts w:cstheme="minorHAnsi"/>
                <w:sz w:val="16"/>
                <w:szCs w:val="16"/>
                <w:u w:val="single"/>
              </w:rPr>
              <w:t xml:space="preserve">The House Commerce &amp; Labor Subcommittee #2 recommended laying HB 880 on the table by voice vote on January 23, effectively tabling the bill for this session. </w:t>
            </w:r>
            <w:r>
              <w:rPr>
                <w:rFonts w:cstheme="minorHAnsi"/>
                <w:i/>
                <w:sz w:val="16"/>
                <w:szCs w:val="16"/>
              </w:rPr>
              <w:t xml:space="preserve"> </w:t>
            </w:r>
            <w:r w:rsidRPr="00A96B00">
              <w:rPr>
                <w:rFonts w:cstheme="minorHAnsi"/>
                <w:sz w:val="16"/>
                <w:szCs w:val="16"/>
                <w:u w:val="single"/>
              </w:rPr>
              <w:t>The Senate Commerce and Labor Committee voted unanimously on January 27 to revisit SB 351 in 2015.</w:t>
            </w:r>
          </w:p>
        </w:tc>
        <w:tc>
          <w:tcPr>
            <w:tcW w:w="1170" w:type="dxa"/>
            <w:gridSpan w:val="2"/>
          </w:tcPr>
          <w:p w:rsidR="00565A34" w:rsidRPr="000D7FA9" w:rsidRDefault="00565A34" w:rsidP="00565A34">
            <w:pPr>
              <w:jc w:val="center"/>
              <w:rPr>
                <w:rFonts w:cstheme="minorHAnsi"/>
                <w:sz w:val="16"/>
                <w:szCs w:val="16"/>
              </w:rPr>
            </w:pPr>
          </w:p>
          <w:p w:rsidR="00565A34" w:rsidRDefault="00565A34" w:rsidP="00565A34">
            <w:pPr>
              <w:jc w:val="center"/>
              <w:rPr>
                <w:rFonts w:cstheme="minorHAnsi"/>
                <w:sz w:val="16"/>
                <w:szCs w:val="16"/>
              </w:rPr>
            </w:pPr>
          </w:p>
          <w:p w:rsidR="00565A34" w:rsidRPr="000D7FA9" w:rsidRDefault="00565A34" w:rsidP="00565A34">
            <w:pP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Yes</w:t>
            </w:r>
          </w:p>
        </w:tc>
        <w:tc>
          <w:tcPr>
            <w:tcW w:w="1057" w:type="dxa"/>
          </w:tcPr>
          <w:p w:rsidR="00565A34" w:rsidRPr="000D7FA9" w:rsidRDefault="00565A34" w:rsidP="00565A34">
            <w:pPr>
              <w:jc w:val="center"/>
              <w:rPr>
                <w:rFonts w:cstheme="minorHAnsi"/>
                <w:sz w:val="16"/>
                <w:szCs w:val="16"/>
              </w:rPr>
            </w:pPr>
          </w:p>
          <w:p w:rsidR="00565A34" w:rsidRDefault="00565A34" w:rsidP="00565A34">
            <w:pPr>
              <w:rPr>
                <w:rFonts w:cstheme="minorHAnsi"/>
                <w:sz w:val="16"/>
                <w:szCs w:val="16"/>
              </w:rPr>
            </w:pPr>
          </w:p>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$1 million</w:t>
            </w:r>
          </w:p>
        </w:tc>
        <w:tc>
          <w:tcPr>
            <w:tcW w:w="1013" w:type="dxa"/>
            <w:gridSpan w:val="2"/>
          </w:tcPr>
          <w:p w:rsidR="00565A34" w:rsidRDefault="00565A34" w:rsidP="00565A34">
            <w:pPr>
              <w:rPr>
                <w:rFonts w:cstheme="minorHAnsi"/>
                <w:sz w:val="16"/>
                <w:szCs w:val="16"/>
              </w:rPr>
            </w:pPr>
          </w:p>
          <w:p w:rsidR="00565A34" w:rsidRPr="000D7FA9" w:rsidRDefault="00565A34" w:rsidP="00565A34">
            <w:pP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$10,000 unless accredited</w:t>
            </w:r>
          </w:p>
        </w:tc>
        <w:tc>
          <w:tcPr>
            <w:tcW w:w="1417" w:type="dxa"/>
            <w:vAlign w:val="center"/>
          </w:tcPr>
          <w:p w:rsidR="00565A34" w:rsidRPr="000D7FA9" w:rsidRDefault="00565A34" w:rsidP="00565A34">
            <w:pPr>
              <w:jc w:val="center"/>
              <w:rPr>
                <w:rFonts w:cstheme="minorHAnsi"/>
                <w:sz w:val="16"/>
                <w:szCs w:val="16"/>
              </w:rPr>
            </w:pPr>
            <w:r w:rsidRPr="000D7FA9">
              <w:rPr>
                <w:rFonts w:cstheme="minorHAnsi"/>
                <w:sz w:val="16"/>
                <w:szCs w:val="16"/>
              </w:rPr>
              <w:t>No</w:t>
            </w:r>
          </w:p>
          <w:p w:rsidR="00565A34" w:rsidRPr="000D7FA9" w:rsidRDefault="00565A34" w:rsidP="00565A34">
            <w:pPr>
              <w:jc w:val="center"/>
              <w:rPr>
                <w:rFonts w:cstheme="minorHAnsi"/>
                <w:sz w:val="16"/>
                <w:szCs w:val="16"/>
              </w:rPr>
            </w:pPr>
          </w:p>
        </w:tc>
        <w:tc>
          <w:tcPr>
            <w:tcW w:w="1463" w:type="dxa"/>
            <w:gridSpan w:val="2"/>
          </w:tcPr>
          <w:p w:rsidR="00565A34" w:rsidRPr="000D7FA9" w:rsidRDefault="00565A34" w:rsidP="00565A34">
            <w:pPr>
              <w:jc w:val="center"/>
              <w:rPr>
                <w:rFonts w:cstheme="minorHAnsi"/>
                <w:sz w:val="16"/>
                <w:szCs w:val="16"/>
              </w:rPr>
            </w:pPr>
          </w:p>
          <w:p w:rsidR="00565A34" w:rsidRDefault="00565A34" w:rsidP="00565A34">
            <w:pPr>
              <w:jc w:val="center"/>
              <w:rPr>
                <w:rFonts w:cstheme="minorHAnsi"/>
                <w:sz w:val="16"/>
                <w:szCs w:val="16"/>
              </w:rPr>
            </w:pPr>
          </w:p>
          <w:p w:rsidR="00565A34" w:rsidRPr="000D7FA9" w:rsidRDefault="00565A34" w:rsidP="00565A34">
            <w:pP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Notice filing</w:t>
            </w:r>
          </w:p>
        </w:tc>
        <w:tc>
          <w:tcPr>
            <w:tcW w:w="697" w:type="dxa"/>
          </w:tcPr>
          <w:p w:rsidR="00565A34" w:rsidRPr="000D7FA9" w:rsidRDefault="00565A34" w:rsidP="00565A34">
            <w:pPr>
              <w:jc w:val="center"/>
              <w:rPr>
                <w:rFonts w:cstheme="minorHAnsi"/>
                <w:sz w:val="16"/>
                <w:szCs w:val="16"/>
              </w:rPr>
            </w:pPr>
          </w:p>
          <w:p w:rsidR="00565A34" w:rsidRDefault="00565A34" w:rsidP="00565A34">
            <w:pPr>
              <w:jc w:val="center"/>
              <w:rPr>
                <w:rFonts w:cstheme="minorHAnsi"/>
                <w:sz w:val="16"/>
                <w:szCs w:val="16"/>
              </w:rPr>
            </w:pPr>
          </w:p>
          <w:p w:rsidR="00565A34" w:rsidRPr="000D7FA9" w:rsidRDefault="00565A34" w:rsidP="00565A34">
            <w:pP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Yes</w:t>
            </w:r>
          </w:p>
        </w:tc>
        <w:tc>
          <w:tcPr>
            <w:tcW w:w="1170" w:type="dxa"/>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p>
        </w:tc>
        <w:tc>
          <w:tcPr>
            <w:tcW w:w="1170" w:type="dxa"/>
          </w:tcPr>
          <w:p w:rsidR="00565A34" w:rsidRPr="000D7FA9" w:rsidRDefault="00565A34" w:rsidP="00565A34">
            <w:pPr>
              <w:jc w:val="center"/>
              <w:rPr>
                <w:rFonts w:cstheme="minorHAnsi"/>
                <w:sz w:val="16"/>
                <w:szCs w:val="16"/>
              </w:rPr>
            </w:pPr>
          </w:p>
        </w:tc>
        <w:tc>
          <w:tcPr>
            <w:tcW w:w="1283" w:type="dxa"/>
            <w:vAlign w:val="center"/>
          </w:tcPr>
          <w:p w:rsidR="00565A34" w:rsidRPr="000D7FA9" w:rsidRDefault="00565A34" w:rsidP="00565A34">
            <w:pPr>
              <w:jc w:val="center"/>
              <w:rPr>
                <w:rFonts w:cstheme="minorHAnsi"/>
                <w:sz w:val="16"/>
                <w:szCs w:val="16"/>
              </w:rPr>
            </w:pPr>
            <w:r w:rsidRPr="000D7FA9">
              <w:rPr>
                <w:rFonts w:cstheme="minorHAnsi"/>
                <w:sz w:val="16"/>
                <w:szCs w:val="16"/>
              </w:rPr>
              <w:t>Yes—25 sale exemption</w:t>
            </w:r>
          </w:p>
        </w:tc>
      </w:tr>
      <w:tr w:rsidR="00565A34" w:rsidRPr="000D7FA9" w:rsidTr="00174AA1">
        <w:trPr>
          <w:cantSplit/>
          <w:trHeight w:val="764"/>
          <w:jc w:val="center"/>
        </w:trPr>
        <w:tc>
          <w:tcPr>
            <w:tcW w:w="1075" w:type="dxa"/>
          </w:tcPr>
          <w:p w:rsidR="00565A34" w:rsidRDefault="00565A34" w:rsidP="005204C8">
            <w:pP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Virginia</w:t>
            </w:r>
          </w:p>
        </w:tc>
        <w:tc>
          <w:tcPr>
            <w:tcW w:w="1193" w:type="dxa"/>
          </w:tcPr>
          <w:p w:rsidR="00565A34" w:rsidRPr="000D7FA9" w:rsidRDefault="00565A34" w:rsidP="00565A34">
            <w:pPr>
              <w:rPr>
                <w:rFonts w:cstheme="minorHAnsi"/>
                <w:bCs/>
                <w:sz w:val="16"/>
                <w:szCs w:val="16"/>
              </w:rPr>
            </w:pPr>
            <w:r w:rsidRPr="000D7FA9">
              <w:rPr>
                <w:rFonts w:cstheme="minorHAnsi"/>
                <w:bCs/>
                <w:sz w:val="16"/>
                <w:szCs w:val="16"/>
              </w:rPr>
              <w:t>Amendment in the Nature of a Substitute to SB 351</w:t>
            </w:r>
          </w:p>
        </w:tc>
        <w:tc>
          <w:tcPr>
            <w:tcW w:w="3060" w:type="dxa"/>
          </w:tcPr>
          <w:p w:rsidR="00565A34" w:rsidRPr="000D7FA9" w:rsidRDefault="00565A34" w:rsidP="00565A34">
            <w:pPr>
              <w:rPr>
                <w:rFonts w:cstheme="minorHAnsi"/>
                <w:sz w:val="16"/>
                <w:szCs w:val="16"/>
              </w:rPr>
            </w:pPr>
            <w:r w:rsidRPr="000D7FA9">
              <w:rPr>
                <w:rFonts w:cstheme="minorHAnsi"/>
                <w:sz w:val="16"/>
                <w:szCs w:val="16"/>
              </w:rPr>
              <w:t xml:space="preserve">This substitute amendment </w:t>
            </w:r>
            <w:r>
              <w:rPr>
                <w:rFonts w:cstheme="minorHAnsi"/>
                <w:sz w:val="16"/>
                <w:szCs w:val="16"/>
              </w:rPr>
              <w:t xml:space="preserve">(history above) </w:t>
            </w:r>
            <w:r w:rsidRPr="000D7FA9">
              <w:rPr>
                <w:rFonts w:cstheme="minorHAnsi"/>
                <w:sz w:val="16"/>
                <w:szCs w:val="16"/>
              </w:rPr>
              <w:t>was introduced on January 15, 2014 in the Senate Committee on Commerce and Labor.</w:t>
            </w:r>
            <w:r>
              <w:rPr>
                <w:rFonts w:cstheme="minorHAnsi"/>
                <w:sz w:val="16"/>
                <w:szCs w:val="16"/>
              </w:rPr>
              <w:t xml:space="preserve"> </w:t>
            </w:r>
          </w:p>
        </w:tc>
        <w:tc>
          <w:tcPr>
            <w:tcW w:w="1170" w:type="dxa"/>
            <w:gridSpan w:val="2"/>
            <w:vAlign w:val="center"/>
          </w:tcPr>
          <w:p w:rsidR="00565A34" w:rsidRPr="000D7FA9" w:rsidRDefault="00565A34" w:rsidP="00565A34">
            <w:pPr>
              <w:jc w:val="center"/>
              <w:rPr>
                <w:rFonts w:cstheme="minorHAnsi"/>
                <w:sz w:val="16"/>
                <w:szCs w:val="16"/>
              </w:rPr>
            </w:pPr>
            <w:r w:rsidRPr="000D7FA9">
              <w:rPr>
                <w:rFonts w:cstheme="minorHAnsi"/>
                <w:sz w:val="16"/>
                <w:szCs w:val="16"/>
              </w:rPr>
              <w:t>Yes, but one year lock-up</w:t>
            </w:r>
          </w:p>
        </w:tc>
        <w:tc>
          <w:tcPr>
            <w:tcW w:w="1057" w:type="dxa"/>
            <w:vAlign w:val="center"/>
          </w:tcPr>
          <w:p w:rsidR="00565A34" w:rsidRPr="000D7FA9" w:rsidRDefault="00565A34" w:rsidP="00565A34">
            <w:pPr>
              <w:jc w:val="center"/>
              <w:rPr>
                <w:rFonts w:cstheme="minorHAnsi"/>
                <w:sz w:val="16"/>
                <w:szCs w:val="16"/>
              </w:rPr>
            </w:pPr>
            <w:r w:rsidRPr="000D7FA9">
              <w:rPr>
                <w:rFonts w:cstheme="minorHAnsi"/>
                <w:sz w:val="16"/>
                <w:szCs w:val="16"/>
              </w:rPr>
              <w:t>$1 million</w:t>
            </w:r>
          </w:p>
        </w:tc>
        <w:tc>
          <w:tcPr>
            <w:tcW w:w="1013" w:type="dxa"/>
            <w:gridSpan w:val="2"/>
            <w:vAlign w:val="center"/>
          </w:tcPr>
          <w:p w:rsidR="00565A34" w:rsidRPr="000D7FA9" w:rsidRDefault="00565A34" w:rsidP="00565A34">
            <w:pPr>
              <w:jc w:val="center"/>
              <w:rPr>
                <w:rFonts w:cstheme="minorHAnsi"/>
                <w:sz w:val="16"/>
                <w:szCs w:val="16"/>
              </w:rPr>
            </w:pPr>
            <w:r w:rsidRPr="000D7FA9">
              <w:rPr>
                <w:rFonts w:cstheme="minorHAnsi"/>
                <w:sz w:val="16"/>
                <w:szCs w:val="16"/>
              </w:rPr>
              <w:t>Same as JOBS Act</w:t>
            </w:r>
          </w:p>
        </w:tc>
        <w:tc>
          <w:tcPr>
            <w:tcW w:w="1417" w:type="dxa"/>
            <w:vAlign w:val="center"/>
          </w:tcPr>
          <w:p w:rsidR="00565A34" w:rsidRPr="000D7FA9" w:rsidRDefault="00565A34" w:rsidP="00565A34">
            <w:pPr>
              <w:jc w:val="center"/>
              <w:rPr>
                <w:rFonts w:cstheme="minorHAnsi"/>
                <w:sz w:val="16"/>
                <w:szCs w:val="16"/>
              </w:rPr>
            </w:pPr>
            <w:r w:rsidRPr="000D7FA9">
              <w:rPr>
                <w:rFonts w:cstheme="minorHAnsi"/>
                <w:sz w:val="16"/>
                <w:szCs w:val="16"/>
              </w:rPr>
              <w:t>No (unless BD)</w:t>
            </w:r>
          </w:p>
        </w:tc>
        <w:tc>
          <w:tcPr>
            <w:tcW w:w="1463" w:type="dxa"/>
            <w:gridSpan w:val="2"/>
            <w:vAlign w:val="center"/>
          </w:tcPr>
          <w:p w:rsidR="00565A34" w:rsidRPr="000D7FA9" w:rsidRDefault="00565A34" w:rsidP="00565A34">
            <w:pPr>
              <w:jc w:val="center"/>
              <w:rPr>
                <w:rFonts w:cstheme="minorHAnsi"/>
                <w:sz w:val="16"/>
                <w:szCs w:val="16"/>
              </w:rPr>
            </w:pPr>
            <w:r w:rsidRPr="000D7FA9">
              <w:rPr>
                <w:rFonts w:cstheme="minorHAnsi"/>
                <w:sz w:val="16"/>
                <w:szCs w:val="16"/>
              </w:rPr>
              <w:t>Notice filing (including disclosure doc)</w:t>
            </w:r>
          </w:p>
        </w:tc>
        <w:tc>
          <w:tcPr>
            <w:tcW w:w="697" w:type="dxa"/>
            <w:vAlign w:val="center"/>
          </w:tcPr>
          <w:p w:rsidR="00565A34" w:rsidRPr="000D7FA9" w:rsidRDefault="00565A34" w:rsidP="00565A34">
            <w:pPr>
              <w:jc w:val="center"/>
              <w:rPr>
                <w:rFonts w:cstheme="minorHAnsi"/>
                <w:sz w:val="16"/>
                <w:szCs w:val="16"/>
              </w:rPr>
            </w:pPr>
            <w:r w:rsidRPr="000D7FA9">
              <w:rPr>
                <w:rFonts w:cstheme="minorHAnsi"/>
                <w:sz w:val="16"/>
                <w:szCs w:val="16"/>
              </w:rPr>
              <w:t>Yes</w:t>
            </w:r>
          </w:p>
        </w:tc>
        <w:tc>
          <w:tcPr>
            <w:tcW w:w="1170" w:type="dxa"/>
            <w:vAlign w:val="center"/>
          </w:tcPr>
          <w:p w:rsidR="00565A34" w:rsidRPr="000D7FA9" w:rsidRDefault="00565A34" w:rsidP="00565A34">
            <w:pPr>
              <w:jc w:val="center"/>
              <w:rPr>
                <w:rFonts w:cstheme="minorHAnsi"/>
                <w:sz w:val="16"/>
                <w:szCs w:val="16"/>
              </w:rPr>
            </w:pPr>
            <w:r w:rsidRPr="000D7FA9">
              <w:rPr>
                <w:rFonts w:cstheme="minorHAnsi"/>
                <w:sz w:val="16"/>
                <w:szCs w:val="16"/>
              </w:rPr>
              <w:t>Yes</w:t>
            </w:r>
          </w:p>
        </w:tc>
        <w:tc>
          <w:tcPr>
            <w:tcW w:w="1170" w:type="dxa"/>
          </w:tcPr>
          <w:p w:rsidR="00565A34" w:rsidRPr="000D7FA9" w:rsidRDefault="00565A34" w:rsidP="00565A34">
            <w:pPr>
              <w:jc w:val="center"/>
              <w:rPr>
                <w:rFonts w:cstheme="minorHAnsi"/>
                <w:sz w:val="16"/>
                <w:szCs w:val="16"/>
              </w:rPr>
            </w:pPr>
            <w:r w:rsidRPr="000D7FA9">
              <w:rPr>
                <w:rFonts w:cstheme="minorHAnsi"/>
                <w:sz w:val="16"/>
                <w:szCs w:val="16"/>
              </w:rPr>
              <w:t>Yes – basic quarterly reports to investors</w:t>
            </w:r>
          </w:p>
        </w:tc>
        <w:tc>
          <w:tcPr>
            <w:tcW w:w="1283" w:type="dxa"/>
            <w:vAlign w:val="center"/>
          </w:tcPr>
          <w:p w:rsidR="00565A34" w:rsidRPr="000D7FA9" w:rsidRDefault="00565A34" w:rsidP="00565A34">
            <w:pPr>
              <w:jc w:val="center"/>
              <w:rPr>
                <w:rFonts w:cstheme="minorHAnsi"/>
                <w:sz w:val="16"/>
                <w:szCs w:val="16"/>
              </w:rPr>
            </w:pPr>
            <w:r w:rsidRPr="000D7FA9">
              <w:rPr>
                <w:rFonts w:cstheme="minorHAnsi"/>
                <w:sz w:val="16"/>
                <w:szCs w:val="16"/>
              </w:rPr>
              <w:t>Yes—25 sale exemption</w:t>
            </w:r>
          </w:p>
        </w:tc>
      </w:tr>
      <w:tr w:rsidR="00565A34" w:rsidRPr="000D7FA9" w:rsidTr="00174AA1">
        <w:trPr>
          <w:cantSplit/>
          <w:trHeight w:val="872"/>
          <w:jc w:val="center"/>
        </w:trPr>
        <w:tc>
          <w:tcPr>
            <w:tcW w:w="1075" w:type="dxa"/>
            <w:vAlign w:val="center"/>
          </w:tcPr>
          <w:p w:rsidR="00565A34" w:rsidRPr="00A27BF1" w:rsidRDefault="00565A34" w:rsidP="005204C8">
            <w:pPr>
              <w:jc w:val="center"/>
              <w:rPr>
                <w:rFonts w:cstheme="minorHAnsi"/>
                <w:sz w:val="16"/>
                <w:szCs w:val="16"/>
              </w:rPr>
            </w:pPr>
            <w:r w:rsidRPr="00A27BF1">
              <w:rPr>
                <w:rFonts w:cstheme="minorHAnsi"/>
                <w:sz w:val="16"/>
                <w:szCs w:val="16"/>
              </w:rPr>
              <w:t>Washington</w:t>
            </w:r>
          </w:p>
        </w:tc>
        <w:tc>
          <w:tcPr>
            <w:tcW w:w="1193" w:type="dxa"/>
            <w:vAlign w:val="center"/>
          </w:tcPr>
          <w:p w:rsidR="00565A34" w:rsidRPr="00A27BF1" w:rsidRDefault="00565A34" w:rsidP="00565A34">
            <w:pPr>
              <w:jc w:val="center"/>
              <w:rPr>
                <w:rFonts w:cstheme="minorHAnsi"/>
                <w:sz w:val="16"/>
                <w:szCs w:val="16"/>
              </w:rPr>
            </w:pPr>
            <w:r w:rsidRPr="00A27BF1">
              <w:rPr>
                <w:rFonts w:cstheme="minorHAnsi"/>
                <w:sz w:val="16"/>
                <w:szCs w:val="16"/>
              </w:rPr>
              <w:t>HB 2023</w:t>
            </w:r>
            <w:r>
              <w:rPr>
                <w:rFonts w:cstheme="minorHAnsi"/>
                <w:sz w:val="16"/>
                <w:szCs w:val="16"/>
              </w:rPr>
              <w:t>/Chapter 144</w:t>
            </w:r>
          </w:p>
        </w:tc>
        <w:tc>
          <w:tcPr>
            <w:tcW w:w="3060" w:type="dxa"/>
            <w:vAlign w:val="center"/>
          </w:tcPr>
          <w:p w:rsidR="00565A34" w:rsidRPr="00A27BF1" w:rsidRDefault="00565A34" w:rsidP="00565A34">
            <w:pPr>
              <w:rPr>
                <w:rFonts w:cstheme="minorHAnsi"/>
                <w:sz w:val="16"/>
                <w:szCs w:val="16"/>
              </w:rPr>
            </w:pPr>
            <w:r w:rsidRPr="009E79E5">
              <w:rPr>
                <w:rFonts w:cstheme="minorHAnsi"/>
                <w:sz w:val="16"/>
                <w:szCs w:val="16"/>
              </w:rPr>
              <w:t xml:space="preserve">The Senate passed HB 2023 </w:t>
            </w:r>
            <w:r>
              <w:rPr>
                <w:rFonts w:cstheme="minorHAnsi"/>
                <w:sz w:val="16"/>
                <w:szCs w:val="16"/>
              </w:rPr>
              <w:t xml:space="preserve">on March 7 and the House passed HB 2023 on March 11.  </w:t>
            </w:r>
            <w:r w:rsidRPr="00A96B00">
              <w:rPr>
                <w:rFonts w:cstheme="minorHAnsi"/>
                <w:b/>
                <w:sz w:val="16"/>
                <w:szCs w:val="16"/>
              </w:rPr>
              <w:t>Governor Jay Inslee signed HB 2023</w:t>
            </w:r>
            <w:r>
              <w:rPr>
                <w:rFonts w:cstheme="minorHAnsi"/>
                <w:b/>
                <w:sz w:val="16"/>
                <w:szCs w:val="16"/>
              </w:rPr>
              <w:t xml:space="preserve">/Chapter 144 </w:t>
            </w:r>
            <w:r w:rsidRPr="00A96B00">
              <w:rPr>
                <w:rFonts w:cstheme="minorHAnsi"/>
                <w:b/>
                <w:sz w:val="16"/>
                <w:szCs w:val="16"/>
              </w:rPr>
              <w:t>into law on March 28, 2014.</w:t>
            </w:r>
            <w:r w:rsidR="007D615B">
              <w:rPr>
                <w:rFonts w:cstheme="minorHAnsi"/>
                <w:b/>
                <w:sz w:val="16"/>
                <w:szCs w:val="16"/>
              </w:rPr>
              <w:t xml:space="preserve">  The law became effective on June 12, 2014.</w:t>
            </w:r>
          </w:p>
        </w:tc>
        <w:tc>
          <w:tcPr>
            <w:tcW w:w="1170" w:type="dxa"/>
            <w:gridSpan w:val="2"/>
            <w:vAlign w:val="center"/>
          </w:tcPr>
          <w:p w:rsidR="00565A34" w:rsidRPr="00A27BF1" w:rsidRDefault="00565A34" w:rsidP="005C140A">
            <w:pPr>
              <w:jc w:val="center"/>
              <w:rPr>
                <w:rFonts w:cstheme="minorHAnsi"/>
                <w:sz w:val="16"/>
                <w:szCs w:val="16"/>
              </w:rPr>
            </w:pPr>
            <w:r w:rsidRPr="00A27BF1">
              <w:rPr>
                <w:rFonts w:cstheme="minorHAnsi"/>
                <w:sz w:val="16"/>
                <w:szCs w:val="16"/>
              </w:rPr>
              <w:t>Yes, but one year lock-up</w:t>
            </w:r>
          </w:p>
        </w:tc>
        <w:tc>
          <w:tcPr>
            <w:tcW w:w="1057" w:type="dxa"/>
            <w:vAlign w:val="center"/>
          </w:tcPr>
          <w:p w:rsidR="00565A34" w:rsidRPr="00A27BF1" w:rsidRDefault="00565A34" w:rsidP="00565A34">
            <w:pPr>
              <w:rPr>
                <w:rFonts w:cstheme="minorHAnsi"/>
                <w:sz w:val="16"/>
                <w:szCs w:val="16"/>
              </w:rPr>
            </w:pPr>
            <w:r w:rsidRPr="00A27BF1">
              <w:rPr>
                <w:rFonts w:cstheme="minorHAnsi"/>
                <w:sz w:val="16"/>
                <w:szCs w:val="16"/>
              </w:rPr>
              <w:t>$1 million</w:t>
            </w:r>
          </w:p>
        </w:tc>
        <w:tc>
          <w:tcPr>
            <w:tcW w:w="1013" w:type="dxa"/>
            <w:gridSpan w:val="2"/>
            <w:vAlign w:val="center"/>
          </w:tcPr>
          <w:p w:rsidR="00565A34" w:rsidRPr="00A27BF1" w:rsidRDefault="00565A34" w:rsidP="005C140A">
            <w:pPr>
              <w:jc w:val="center"/>
              <w:rPr>
                <w:rFonts w:cstheme="minorHAnsi"/>
                <w:sz w:val="16"/>
                <w:szCs w:val="16"/>
              </w:rPr>
            </w:pPr>
            <w:r w:rsidRPr="00A27BF1">
              <w:rPr>
                <w:rFonts w:cstheme="minorHAnsi"/>
                <w:sz w:val="16"/>
                <w:szCs w:val="16"/>
              </w:rPr>
              <w:t>Same as JOBS Act</w:t>
            </w:r>
          </w:p>
        </w:tc>
        <w:tc>
          <w:tcPr>
            <w:tcW w:w="1417" w:type="dxa"/>
            <w:vAlign w:val="center"/>
          </w:tcPr>
          <w:p w:rsidR="00565A34" w:rsidRPr="00A27BF1" w:rsidRDefault="00565A34" w:rsidP="00565A34">
            <w:pPr>
              <w:jc w:val="center"/>
              <w:rPr>
                <w:rFonts w:cstheme="minorHAnsi"/>
                <w:sz w:val="16"/>
                <w:szCs w:val="16"/>
              </w:rPr>
            </w:pPr>
          </w:p>
        </w:tc>
        <w:tc>
          <w:tcPr>
            <w:tcW w:w="1463" w:type="dxa"/>
            <w:gridSpan w:val="2"/>
            <w:vAlign w:val="center"/>
          </w:tcPr>
          <w:p w:rsidR="00565A34" w:rsidRPr="00A27BF1" w:rsidRDefault="00565A34" w:rsidP="00565A34">
            <w:pPr>
              <w:jc w:val="center"/>
              <w:rPr>
                <w:rFonts w:cstheme="minorHAnsi"/>
                <w:sz w:val="16"/>
                <w:szCs w:val="16"/>
              </w:rPr>
            </w:pPr>
            <w:r w:rsidRPr="00A27BF1">
              <w:rPr>
                <w:rFonts w:cstheme="minorHAnsi"/>
                <w:sz w:val="16"/>
                <w:szCs w:val="16"/>
              </w:rPr>
              <w:t>Notice filing</w:t>
            </w:r>
          </w:p>
        </w:tc>
        <w:tc>
          <w:tcPr>
            <w:tcW w:w="697" w:type="dxa"/>
            <w:vAlign w:val="center"/>
          </w:tcPr>
          <w:p w:rsidR="00565A34" w:rsidRPr="00A27BF1" w:rsidRDefault="00565A34" w:rsidP="00565A34">
            <w:pPr>
              <w:jc w:val="center"/>
              <w:rPr>
                <w:rFonts w:cstheme="minorHAnsi"/>
                <w:sz w:val="16"/>
                <w:szCs w:val="16"/>
              </w:rPr>
            </w:pPr>
            <w:r>
              <w:rPr>
                <w:rFonts w:cstheme="minorHAnsi"/>
                <w:sz w:val="16"/>
                <w:szCs w:val="16"/>
              </w:rPr>
              <w:t>Yes</w:t>
            </w:r>
          </w:p>
        </w:tc>
        <w:tc>
          <w:tcPr>
            <w:tcW w:w="1170" w:type="dxa"/>
            <w:vAlign w:val="center"/>
          </w:tcPr>
          <w:p w:rsidR="00565A34" w:rsidRPr="00A27BF1" w:rsidRDefault="00565A34" w:rsidP="00565A34">
            <w:pPr>
              <w:jc w:val="center"/>
              <w:rPr>
                <w:rFonts w:cstheme="minorHAnsi"/>
                <w:sz w:val="16"/>
                <w:szCs w:val="16"/>
              </w:rPr>
            </w:pPr>
          </w:p>
        </w:tc>
        <w:tc>
          <w:tcPr>
            <w:tcW w:w="1170" w:type="dxa"/>
            <w:vAlign w:val="center"/>
          </w:tcPr>
          <w:p w:rsidR="00565A34" w:rsidRPr="00A27BF1" w:rsidRDefault="00565A34" w:rsidP="005C140A">
            <w:pPr>
              <w:jc w:val="center"/>
              <w:rPr>
                <w:rFonts w:cstheme="minorHAnsi"/>
                <w:sz w:val="16"/>
                <w:szCs w:val="16"/>
              </w:rPr>
            </w:pPr>
            <w:r w:rsidRPr="00A27BF1">
              <w:rPr>
                <w:rFonts w:cstheme="minorHAnsi"/>
                <w:sz w:val="16"/>
                <w:szCs w:val="16"/>
              </w:rPr>
              <w:t>Yes – basic quarterly reports to investors</w:t>
            </w:r>
          </w:p>
        </w:tc>
        <w:tc>
          <w:tcPr>
            <w:tcW w:w="1283" w:type="dxa"/>
            <w:vAlign w:val="center"/>
          </w:tcPr>
          <w:p w:rsidR="00565A34" w:rsidRPr="00A27BF1" w:rsidRDefault="00565A34" w:rsidP="00565A34">
            <w:pPr>
              <w:jc w:val="center"/>
              <w:rPr>
                <w:rFonts w:cstheme="minorHAnsi"/>
                <w:sz w:val="16"/>
                <w:szCs w:val="16"/>
              </w:rPr>
            </w:pPr>
          </w:p>
        </w:tc>
      </w:tr>
      <w:tr w:rsidR="00565A34" w:rsidRPr="000D7FA9" w:rsidTr="00174AA1">
        <w:trPr>
          <w:cantSplit/>
          <w:trHeight w:val="1151"/>
          <w:jc w:val="center"/>
        </w:trPr>
        <w:tc>
          <w:tcPr>
            <w:tcW w:w="1075" w:type="dxa"/>
          </w:tcPr>
          <w:p w:rsidR="00565A34" w:rsidRPr="000D7FA9" w:rsidRDefault="00565A34" w:rsidP="00565A34">
            <w:pPr>
              <w:rPr>
                <w:rFonts w:cstheme="minorHAnsi"/>
                <w:sz w:val="16"/>
                <w:szCs w:val="16"/>
              </w:rPr>
            </w:pPr>
          </w:p>
          <w:p w:rsidR="00565A34" w:rsidRPr="000D7FA9" w:rsidRDefault="00565A34" w:rsidP="00565A34">
            <w:pP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Wisconsin</w:t>
            </w:r>
          </w:p>
        </w:tc>
        <w:tc>
          <w:tcPr>
            <w:tcW w:w="1193" w:type="dxa"/>
          </w:tcPr>
          <w:p w:rsidR="00565A34" w:rsidRPr="000D7FA9" w:rsidRDefault="00565A34" w:rsidP="00565A34">
            <w:pPr>
              <w:jc w:val="center"/>
              <w:rPr>
                <w:rFonts w:cstheme="minorHAnsi"/>
                <w:bCs/>
                <w:sz w:val="16"/>
                <w:szCs w:val="16"/>
              </w:rPr>
            </w:pPr>
          </w:p>
          <w:p w:rsidR="00565A34" w:rsidRPr="000D7FA9" w:rsidRDefault="00565A34" w:rsidP="00565A34">
            <w:pPr>
              <w:rPr>
                <w:rFonts w:cstheme="minorHAnsi"/>
                <w:bCs/>
                <w:sz w:val="16"/>
                <w:szCs w:val="16"/>
              </w:rPr>
            </w:pPr>
          </w:p>
          <w:p w:rsidR="00565A34" w:rsidRPr="000D7FA9" w:rsidRDefault="00565A34" w:rsidP="00565A34">
            <w:pPr>
              <w:jc w:val="center"/>
              <w:rPr>
                <w:rFonts w:cstheme="minorHAnsi"/>
                <w:sz w:val="16"/>
                <w:szCs w:val="16"/>
              </w:rPr>
            </w:pPr>
            <w:r w:rsidRPr="000D7FA9">
              <w:rPr>
                <w:rFonts w:cstheme="minorHAnsi"/>
                <w:bCs/>
                <w:sz w:val="16"/>
                <w:szCs w:val="16"/>
              </w:rPr>
              <w:t>AB 350/Public Act 52</w:t>
            </w:r>
          </w:p>
        </w:tc>
        <w:tc>
          <w:tcPr>
            <w:tcW w:w="3060" w:type="dxa"/>
          </w:tcPr>
          <w:p w:rsidR="00565A34" w:rsidRPr="000D7FA9" w:rsidRDefault="00565A34" w:rsidP="00565A34">
            <w:pPr>
              <w:rPr>
                <w:rFonts w:cstheme="minorHAnsi"/>
                <w:sz w:val="16"/>
                <w:szCs w:val="16"/>
              </w:rPr>
            </w:pPr>
          </w:p>
          <w:p w:rsidR="00565A34" w:rsidRPr="000D7FA9" w:rsidRDefault="00565A34" w:rsidP="00565A34">
            <w:pPr>
              <w:rPr>
                <w:rFonts w:cstheme="minorHAnsi"/>
                <w:sz w:val="16"/>
                <w:szCs w:val="16"/>
              </w:rPr>
            </w:pPr>
          </w:p>
          <w:p w:rsidR="00565A34" w:rsidRPr="00A96B00" w:rsidRDefault="00565A34" w:rsidP="00565A34">
            <w:pPr>
              <w:rPr>
                <w:rFonts w:cstheme="minorHAnsi"/>
                <w:b/>
                <w:sz w:val="16"/>
                <w:szCs w:val="16"/>
              </w:rPr>
            </w:pPr>
            <w:r w:rsidRPr="00A96B00">
              <w:rPr>
                <w:rFonts w:cstheme="minorHAnsi"/>
                <w:b/>
                <w:sz w:val="16"/>
                <w:szCs w:val="16"/>
              </w:rPr>
              <w:t>The bill was signed into law by Republican Gov. Scott Walker on November 7, 2013.</w:t>
            </w:r>
            <w:r w:rsidR="00055982">
              <w:rPr>
                <w:rFonts w:cstheme="minorHAnsi"/>
                <w:b/>
                <w:sz w:val="16"/>
                <w:szCs w:val="16"/>
              </w:rPr>
              <w:t xml:space="preserve">  The law became fully effective on June 1, 2014.</w:t>
            </w:r>
          </w:p>
        </w:tc>
        <w:tc>
          <w:tcPr>
            <w:tcW w:w="1170" w:type="dxa"/>
            <w:gridSpan w:val="2"/>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Yes</w:t>
            </w:r>
          </w:p>
        </w:tc>
        <w:tc>
          <w:tcPr>
            <w:tcW w:w="1057" w:type="dxa"/>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$1 million; $2 million if audited</w:t>
            </w:r>
          </w:p>
        </w:tc>
        <w:tc>
          <w:tcPr>
            <w:tcW w:w="1013" w:type="dxa"/>
            <w:gridSpan w:val="2"/>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$10,000 unless accredited or “certified”</w:t>
            </w:r>
          </w:p>
        </w:tc>
        <w:tc>
          <w:tcPr>
            <w:tcW w:w="1417" w:type="dxa"/>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2 options:  Option 1 allows comp; Option 2 prohibits comp (i.e., Issuer offerings)</w:t>
            </w:r>
          </w:p>
          <w:p w:rsidR="00565A34" w:rsidRPr="000D7FA9" w:rsidRDefault="00565A34" w:rsidP="00565A34">
            <w:pPr>
              <w:jc w:val="center"/>
              <w:rPr>
                <w:rFonts w:cstheme="minorHAnsi"/>
                <w:sz w:val="16"/>
                <w:szCs w:val="16"/>
              </w:rPr>
            </w:pPr>
          </w:p>
        </w:tc>
        <w:tc>
          <w:tcPr>
            <w:tcW w:w="1463" w:type="dxa"/>
            <w:gridSpan w:val="2"/>
          </w:tcPr>
          <w:p w:rsidR="00565A34" w:rsidRPr="000D7FA9" w:rsidRDefault="00565A34" w:rsidP="00565A34">
            <w:pPr>
              <w:jc w:val="center"/>
              <w:rPr>
                <w:rFonts w:cstheme="minorHAnsi"/>
                <w:sz w:val="16"/>
                <w:szCs w:val="16"/>
              </w:rPr>
            </w:pPr>
            <w:r w:rsidRPr="000D7FA9">
              <w:rPr>
                <w:rFonts w:cstheme="minorHAnsi"/>
                <w:sz w:val="16"/>
                <w:szCs w:val="16"/>
              </w:rPr>
              <w:t>Option 1 requires notice filing (including disclosure doc);</w:t>
            </w:r>
          </w:p>
          <w:p w:rsidR="00565A34" w:rsidRPr="000D7FA9" w:rsidRDefault="00565A34" w:rsidP="00565A34">
            <w:pPr>
              <w:jc w:val="center"/>
              <w:rPr>
                <w:rFonts w:cstheme="minorHAnsi"/>
                <w:sz w:val="16"/>
                <w:szCs w:val="16"/>
              </w:rPr>
            </w:pPr>
            <w:r w:rsidRPr="000D7FA9">
              <w:rPr>
                <w:rFonts w:cstheme="minorHAnsi"/>
                <w:sz w:val="16"/>
                <w:szCs w:val="16"/>
              </w:rPr>
              <w:t>Option 2 requires notice filing only after 100</w:t>
            </w:r>
            <w:r w:rsidRPr="000D7FA9">
              <w:rPr>
                <w:rFonts w:cstheme="minorHAnsi"/>
                <w:sz w:val="16"/>
                <w:szCs w:val="16"/>
                <w:vertAlign w:val="superscript"/>
              </w:rPr>
              <w:t>th</w:t>
            </w:r>
            <w:r w:rsidRPr="000D7FA9">
              <w:rPr>
                <w:rFonts w:cstheme="minorHAnsi"/>
                <w:sz w:val="16"/>
                <w:szCs w:val="16"/>
              </w:rPr>
              <w:t xml:space="preserve"> sale</w:t>
            </w:r>
          </w:p>
        </w:tc>
        <w:tc>
          <w:tcPr>
            <w:tcW w:w="697" w:type="dxa"/>
          </w:tcPr>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p>
          <w:p w:rsidR="00565A34" w:rsidRPr="000D7FA9" w:rsidRDefault="00565A34" w:rsidP="00565A34">
            <w:pPr>
              <w:jc w:val="center"/>
              <w:rPr>
                <w:rFonts w:cstheme="minorHAnsi"/>
                <w:sz w:val="16"/>
                <w:szCs w:val="16"/>
              </w:rPr>
            </w:pPr>
            <w:r w:rsidRPr="000D7FA9">
              <w:rPr>
                <w:rFonts w:cstheme="minorHAnsi"/>
                <w:sz w:val="16"/>
                <w:szCs w:val="16"/>
              </w:rPr>
              <w:t>Yes</w:t>
            </w:r>
          </w:p>
        </w:tc>
        <w:tc>
          <w:tcPr>
            <w:tcW w:w="1170" w:type="dxa"/>
          </w:tcPr>
          <w:p w:rsidR="00565A34" w:rsidRPr="000D7FA9" w:rsidRDefault="00565A34" w:rsidP="00565A34">
            <w:pPr>
              <w:jc w:val="center"/>
              <w:rPr>
                <w:rFonts w:cstheme="minorHAnsi"/>
                <w:sz w:val="16"/>
                <w:szCs w:val="16"/>
              </w:rPr>
            </w:pPr>
            <w:r w:rsidRPr="000D7FA9">
              <w:rPr>
                <w:rFonts w:cstheme="minorHAnsi"/>
                <w:sz w:val="16"/>
                <w:szCs w:val="16"/>
              </w:rPr>
              <w:t>Option 1 mandates internet (WI-based only, and light registration required).</w:t>
            </w:r>
          </w:p>
        </w:tc>
        <w:tc>
          <w:tcPr>
            <w:tcW w:w="1170" w:type="dxa"/>
          </w:tcPr>
          <w:p w:rsidR="00565A34" w:rsidRPr="000D7FA9" w:rsidRDefault="00565A34" w:rsidP="00565A34">
            <w:pPr>
              <w:jc w:val="center"/>
              <w:rPr>
                <w:rFonts w:cstheme="minorHAnsi"/>
                <w:sz w:val="16"/>
                <w:szCs w:val="16"/>
              </w:rPr>
            </w:pPr>
            <w:r w:rsidRPr="000D7FA9">
              <w:rPr>
                <w:rFonts w:cstheme="minorHAnsi"/>
                <w:sz w:val="16"/>
                <w:szCs w:val="16"/>
              </w:rPr>
              <w:t>Option 1 requires basic quarterly reports to investors</w:t>
            </w:r>
          </w:p>
        </w:tc>
        <w:tc>
          <w:tcPr>
            <w:tcW w:w="1283" w:type="dxa"/>
          </w:tcPr>
          <w:p w:rsidR="00565A34" w:rsidRPr="000D7FA9" w:rsidRDefault="00565A34" w:rsidP="00565A34">
            <w:pPr>
              <w:jc w:val="center"/>
              <w:rPr>
                <w:rFonts w:cstheme="minorHAnsi"/>
                <w:sz w:val="16"/>
                <w:szCs w:val="16"/>
              </w:rPr>
            </w:pPr>
          </w:p>
        </w:tc>
      </w:tr>
    </w:tbl>
    <w:p w:rsidR="00106CD3" w:rsidRDefault="00106CD3" w:rsidP="00B83F63">
      <w:pPr>
        <w:rPr>
          <w:rFonts w:cs="Times New Roman"/>
          <w:sz w:val="20"/>
          <w:szCs w:val="20"/>
          <w:u w:val="single"/>
        </w:rPr>
      </w:pPr>
    </w:p>
    <w:p w:rsidR="007539D4" w:rsidRPr="00B83F63" w:rsidRDefault="00B83F63" w:rsidP="00B83F63">
      <w:pPr>
        <w:rPr>
          <w:rFonts w:cs="Times New Roman"/>
          <w:sz w:val="20"/>
          <w:szCs w:val="20"/>
        </w:rPr>
      </w:pPr>
      <w:r w:rsidRPr="00B83F63">
        <w:rPr>
          <w:rFonts w:cs="Times New Roman"/>
          <w:sz w:val="20"/>
          <w:szCs w:val="20"/>
          <w:u w:val="single"/>
        </w:rPr>
        <w:t>OTHER INTRASTATE BILLS</w:t>
      </w:r>
      <w:r>
        <w:rPr>
          <w:rFonts w:cs="Times New Roman"/>
          <w:sz w:val="20"/>
          <w:szCs w:val="20"/>
        </w:rPr>
        <w:t>:</w:t>
      </w:r>
    </w:p>
    <w:p w:rsidR="0092466C" w:rsidRPr="00116B48" w:rsidRDefault="007C2E79" w:rsidP="00116B48">
      <w:pPr>
        <w:pStyle w:val="ListParagraph"/>
        <w:numPr>
          <w:ilvl w:val="0"/>
          <w:numId w:val="4"/>
        </w:numPr>
        <w:rPr>
          <w:rFonts w:cs="Times New Roman"/>
          <w:sz w:val="20"/>
          <w:szCs w:val="20"/>
        </w:rPr>
      </w:pPr>
      <w:r>
        <w:rPr>
          <w:rFonts w:cs="Times New Roman"/>
          <w:sz w:val="20"/>
          <w:szCs w:val="20"/>
        </w:rPr>
        <w:t xml:space="preserve">On January 30, 2014, Michigan Representative Nancy Jenkins introduced </w:t>
      </w:r>
      <w:r w:rsidRPr="00FB22C2">
        <w:rPr>
          <w:rFonts w:cs="Times New Roman"/>
          <w:b/>
          <w:sz w:val="20"/>
          <w:szCs w:val="20"/>
        </w:rPr>
        <w:t>HB 5273</w:t>
      </w:r>
      <w:r w:rsidR="007F7617">
        <w:rPr>
          <w:rFonts w:cs="Times New Roman"/>
          <w:sz w:val="20"/>
          <w:szCs w:val="20"/>
        </w:rPr>
        <w:t xml:space="preserve"> in the Michigan House of Representatives</w:t>
      </w:r>
      <w:r>
        <w:rPr>
          <w:rFonts w:cs="Times New Roman"/>
          <w:sz w:val="20"/>
          <w:szCs w:val="20"/>
        </w:rPr>
        <w:t xml:space="preserve">.  </w:t>
      </w:r>
      <w:r w:rsidR="00EE0BF5">
        <w:rPr>
          <w:rFonts w:cs="Times New Roman"/>
          <w:sz w:val="20"/>
          <w:szCs w:val="20"/>
        </w:rPr>
        <w:t>On April 30 a substitute bill was introduced</w:t>
      </w:r>
      <w:r w:rsidR="005A1D2A">
        <w:rPr>
          <w:rFonts w:cs="Times New Roman"/>
          <w:sz w:val="20"/>
          <w:szCs w:val="20"/>
        </w:rPr>
        <w:t>; on May 22 the bill was read a third time and passed the House by a vote of 110-0; on May 27 the bill was referred to the Senate Committee on Banking and Financial Institutions</w:t>
      </w:r>
      <w:r w:rsidR="005864F3">
        <w:rPr>
          <w:rFonts w:cs="Times New Roman"/>
          <w:sz w:val="20"/>
          <w:szCs w:val="20"/>
        </w:rPr>
        <w:t>.</w:t>
      </w:r>
      <w:r w:rsidR="007A1350">
        <w:rPr>
          <w:rFonts w:cs="Times New Roman"/>
          <w:sz w:val="20"/>
          <w:szCs w:val="20"/>
        </w:rPr>
        <w:t xml:space="preserve">  On June 10, 2014, the Senate Banking and Financial Institutions Committee reported the bill favorably with Substitute S-1 and referred the bill to the Committee of the Whole.  </w:t>
      </w:r>
      <w:r w:rsidR="00B707A2">
        <w:rPr>
          <w:rFonts w:cs="Times New Roman"/>
          <w:sz w:val="20"/>
          <w:szCs w:val="20"/>
        </w:rPr>
        <w:t>The</w:t>
      </w:r>
      <w:r w:rsidR="00081FAA" w:rsidRPr="00097D98">
        <w:rPr>
          <w:rFonts w:cs="Times New Roman"/>
          <w:sz w:val="20"/>
          <w:szCs w:val="20"/>
        </w:rPr>
        <w:t xml:space="preserve"> bill creates a </w:t>
      </w:r>
      <w:r w:rsidR="00583396">
        <w:rPr>
          <w:rFonts w:cs="Times New Roman"/>
          <w:sz w:val="20"/>
          <w:szCs w:val="20"/>
        </w:rPr>
        <w:t xml:space="preserve">local stock exchange called a </w:t>
      </w:r>
      <w:r w:rsidR="00081FAA" w:rsidRPr="00097D98">
        <w:rPr>
          <w:rFonts w:cs="Times New Roman"/>
          <w:sz w:val="20"/>
          <w:szCs w:val="20"/>
        </w:rPr>
        <w:t>“</w:t>
      </w:r>
      <w:r w:rsidR="00583396">
        <w:rPr>
          <w:rFonts w:cs="Times New Roman"/>
          <w:sz w:val="20"/>
          <w:szCs w:val="20"/>
        </w:rPr>
        <w:t>Michigan Investment Market</w:t>
      </w:r>
      <w:r w:rsidR="00081FAA" w:rsidRPr="00097D98">
        <w:rPr>
          <w:rFonts w:cs="Times New Roman"/>
          <w:sz w:val="20"/>
          <w:szCs w:val="20"/>
        </w:rPr>
        <w:t>” for securities sold or offered</w:t>
      </w:r>
      <w:r w:rsidR="0087402A">
        <w:rPr>
          <w:rFonts w:cs="Times New Roman"/>
          <w:sz w:val="20"/>
          <w:szCs w:val="20"/>
        </w:rPr>
        <w:t xml:space="preserve"> on a web </w:t>
      </w:r>
      <w:r w:rsidR="00583396">
        <w:rPr>
          <w:rFonts w:cs="Times New Roman"/>
          <w:sz w:val="20"/>
          <w:szCs w:val="20"/>
        </w:rPr>
        <w:t>portal</w:t>
      </w:r>
      <w:r w:rsidR="00081FAA" w:rsidRPr="00097D98">
        <w:rPr>
          <w:rFonts w:cs="Times New Roman"/>
          <w:sz w:val="20"/>
          <w:szCs w:val="20"/>
        </w:rPr>
        <w:t xml:space="preserve"> pursuant to the intrastate offering exemption. </w:t>
      </w:r>
      <w:r w:rsidR="00895B41">
        <w:rPr>
          <w:rFonts w:cs="Times New Roman"/>
          <w:sz w:val="20"/>
          <w:szCs w:val="20"/>
        </w:rPr>
        <w:t xml:space="preserve"> </w:t>
      </w:r>
      <w:r w:rsidR="00116B48">
        <w:rPr>
          <w:rFonts w:cs="Times New Roman"/>
          <w:sz w:val="20"/>
          <w:szCs w:val="20"/>
        </w:rPr>
        <w:br/>
      </w:r>
    </w:p>
    <w:p w:rsidR="004D4350" w:rsidRDefault="00F452FB" w:rsidP="004D4350">
      <w:pPr>
        <w:pStyle w:val="ListParagraph"/>
        <w:numPr>
          <w:ilvl w:val="0"/>
          <w:numId w:val="4"/>
        </w:numPr>
        <w:rPr>
          <w:rFonts w:cs="Times New Roman"/>
          <w:sz w:val="20"/>
          <w:szCs w:val="20"/>
        </w:rPr>
      </w:pPr>
      <w:r>
        <w:rPr>
          <w:rFonts w:cs="Times New Roman"/>
          <w:sz w:val="20"/>
          <w:szCs w:val="20"/>
        </w:rPr>
        <w:t xml:space="preserve">On February 26, 2014, bill </w:t>
      </w:r>
      <w:r w:rsidRPr="00B531F7">
        <w:rPr>
          <w:rFonts w:cs="Times New Roman"/>
          <w:b/>
          <w:sz w:val="20"/>
          <w:szCs w:val="20"/>
        </w:rPr>
        <w:t>HB 4799</w:t>
      </w:r>
      <w:r w:rsidR="00C56459">
        <w:rPr>
          <w:rFonts w:cs="Times New Roman"/>
          <w:b/>
          <w:sz w:val="20"/>
          <w:szCs w:val="20"/>
        </w:rPr>
        <w:t xml:space="preserve">, </w:t>
      </w:r>
      <w:r w:rsidR="00C56459">
        <w:rPr>
          <w:rFonts w:cs="Times New Roman"/>
          <w:sz w:val="20"/>
          <w:szCs w:val="20"/>
        </w:rPr>
        <w:t>the “South Carolina Small Business Tax Incentives Act,”</w:t>
      </w:r>
      <w:r>
        <w:rPr>
          <w:rFonts w:cs="Times New Roman"/>
          <w:sz w:val="20"/>
          <w:szCs w:val="20"/>
        </w:rPr>
        <w:t xml:space="preserve"> was introduced in the South Carolina House of Representatives and was referred to the House Committee on Ways and Means.  HB 4799 would </w:t>
      </w:r>
      <w:r w:rsidR="00C56459">
        <w:rPr>
          <w:rFonts w:cs="Times New Roman"/>
          <w:sz w:val="20"/>
          <w:szCs w:val="20"/>
        </w:rPr>
        <w:t xml:space="preserve">authorize certain qualified companies in South Carolina to solicit investments from qualified investors in South Carolina in order to enable them to raise money on an intrastate basis.  </w:t>
      </w:r>
    </w:p>
    <w:p w:rsidR="00081FAA" w:rsidRPr="00B531F7" w:rsidRDefault="00081FAA" w:rsidP="00116B48">
      <w:pPr>
        <w:pStyle w:val="ListParagraph"/>
        <w:rPr>
          <w:rFonts w:cs="Times New Roman"/>
          <w:sz w:val="20"/>
          <w:szCs w:val="20"/>
        </w:rPr>
      </w:pPr>
    </w:p>
    <w:sectPr w:rsidR="00081FAA" w:rsidRPr="00B531F7" w:rsidSect="002D562B">
      <w:pgSz w:w="15840" w:h="12240" w:orient="landscape"/>
      <w:pgMar w:top="144" w:right="144" w:bottom="0" w:left="1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42F"/>
    <w:multiLevelType w:val="hybridMultilevel"/>
    <w:tmpl w:val="9338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CF1A23"/>
    <w:multiLevelType w:val="hybridMultilevel"/>
    <w:tmpl w:val="F95E332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9A819E2"/>
    <w:multiLevelType w:val="multilevel"/>
    <w:tmpl w:val="6276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11"/>
    <w:rsid w:val="00000104"/>
    <w:rsid w:val="000022FD"/>
    <w:rsid w:val="00007E5B"/>
    <w:rsid w:val="00011A4F"/>
    <w:rsid w:val="000158DF"/>
    <w:rsid w:val="00023D15"/>
    <w:rsid w:val="000240C0"/>
    <w:rsid w:val="0002612C"/>
    <w:rsid w:val="00026DDD"/>
    <w:rsid w:val="00031AB2"/>
    <w:rsid w:val="00031CF9"/>
    <w:rsid w:val="00032234"/>
    <w:rsid w:val="000347EC"/>
    <w:rsid w:val="00034FA2"/>
    <w:rsid w:val="00036D26"/>
    <w:rsid w:val="000404EA"/>
    <w:rsid w:val="00041152"/>
    <w:rsid w:val="0004323B"/>
    <w:rsid w:val="00045EFC"/>
    <w:rsid w:val="00055982"/>
    <w:rsid w:val="00057260"/>
    <w:rsid w:val="00062870"/>
    <w:rsid w:val="000668E8"/>
    <w:rsid w:val="00066B41"/>
    <w:rsid w:val="00070667"/>
    <w:rsid w:val="00076B14"/>
    <w:rsid w:val="00081FAA"/>
    <w:rsid w:val="000836F7"/>
    <w:rsid w:val="00085745"/>
    <w:rsid w:val="000900D8"/>
    <w:rsid w:val="00091E29"/>
    <w:rsid w:val="00092B4C"/>
    <w:rsid w:val="000933F2"/>
    <w:rsid w:val="000946F6"/>
    <w:rsid w:val="00097D98"/>
    <w:rsid w:val="000A1319"/>
    <w:rsid w:val="000A48EE"/>
    <w:rsid w:val="000A7679"/>
    <w:rsid w:val="000A7E38"/>
    <w:rsid w:val="000B00B8"/>
    <w:rsid w:val="000B5018"/>
    <w:rsid w:val="000B7634"/>
    <w:rsid w:val="000C2570"/>
    <w:rsid w:val="000C25B7"/>
    <w:rsid w:val="000C466E"/>
    <w:rsid w:val="000C548D"/>
    <w:rsid w:val="000C6F1D"/>
    <w:rsid w:val="000D2212"/>
    <w:rsid w:val="000D26B4"/>
    <w:rsid w:val="000D7FA9"/>
    <w:rsid w:val="000E6A6E"/>
    <w:rsid w:val="000E6ED5"/>
    <w:rsid w:val="000E76A3"/>
    <w:rsid w:val="000F18B1"/>
    <w:rsid w:val="000F718A"/>
    <w:rsid w:val="00102143"/>
    <w:rsid w:val="00103FEE"/>
    <w:rsid w:val="0010566C"/>
    <w:rsid w:val="00105F10"/>
    <w:rsid w:val="00106CD3"/>
    <w:rsid w:val="00107575"/>
    <w:rsid w:val="00107A44"/>
    <w:rsid w:val="00107F56"/>
    <w:rsid w:val="00114FD4"/>
    <w:rsid w:val="00116B48"/>
    <w:rsid w:val="00117745"/>
    <w:rsid w:val="00124A8A"/>
    <w:rsid w:val="00125CD6"/>
    <w:rsid w:val="00127329"/>
    <w:rsid w:val="001307E8"/>
    <w:rsid w:val="001337D3"/>
    <w:rsid w:val="00134117"/>
    <w:rsid w:val="00137F68"/>
    <w:rsid w:val="00142A29"/>
    <w:rsid w:val="001441FA"/>
    <w:rsid w:val="00145121"/>
    <w:rsid w:val="0014708D"/>
    <w:rsid w:val="00147BD4"/>
    <w:rsid w:val="00152D11"/>
    <w:rsid w:val="001534FA"/>
    <w:rsid w:val="001663B3"/>
    <w:rsid w:val="00167A36"/>
    <w:rsid w:val="00167FCE"/>
    <w:rsid w:val="00170FF7"/>
    <w:rsid w:val="00172223"/>
    <w:rsid w:val="00173069"/>
    <w:rsid w:val="0017380A"/>
    <w:rsid w:val="001747D7"/>
    <w:rsid w:val="00174AA1"/>
    <w:rsid w:val="00174E51"/>
    <w:rsid w:val="001761EA"/>
    <w:rsid w:val="00176352"/>
    <w:rsid w:val="00176472"/>
    <w:rsid w:val="001802BD"/>
    <w:rsid w:val="00185E00"/>
    <w:rsid w:val="001A0938"/>
    <w:rsid w:val="001A31C6"/>
    <w:rsid w:val="001A4E03"/>
    <w:rsid w:val="001A731A"/>
    <w:rsid w:val="001B1DB8"/>
    <w:rsid w:val="001B26EB"/>
    <w:rsid w:val="001B28AB"/>
    <w:rsid w:val="001B4E55"/>
    <w:rsid w:val="001C156D"/>
    <w:rsid w:val="001C62DD"/>
    <w:rsid w:val="001D708B"/>
    <w:rsid w:val="001E2451"/>
    <w:rsid w:val="001E699C"/>
    <w:rsid w:val="001F1FD0"/>
    <w:rsid w:val="001F3864"/>
    <w:rsid w:val="001F4D36"/>
    <w:rsid w:val="001F54A7"/>
    <w:rsid w:val="002013B1"/>
    <w:rsid w:val="0020557D"/>
    <w:rsid w:val="00206183"/>
    <w:rsid w:val="00207DE2"/>
    <w:rsid w:val="002112B1"/>
    <w:rsid w:val="0021460A"/>
    <w:rsid w:val="00220BF2"/>
    <w:rsid w:val="00223E8A"/>
    <w:rsid w:val="0022463D"/>
    <w:rsid w:val="0022470C"/>
    <w:rsid w:val="00224B27"/>
    <w:rsid w:val="00225095"/>
    <w:rsid w:val="0022595A"/>
    <w:rsid w:val="00226C8A"/>
    <w:rsid w:val="00232279"/>
    <w:rsid w:val="00236799"/>
    <w:rsid w:val="00236D6D"/>
    <w:rsid w:val="002413C9"/>
    <w:rsid w:val="00241B8D"/>
    <w:rsid w:val="00244B6E"/>
    <w:rsid w:val="0024595C"/>
    <w:rsid w:val="00245FE4"/>
    <w:rsid w:val="00251CD7"/>
    <w:rsid w:val="0025604C"/>
    <w:rsid w:val="0025748F"/>
    <w:rsid w:val="00271FEF"/>
    <w:rsid w:val="00272E00"/>
    <w:rsid w:val="0027392B"/>
    <w:rsid w:val="002758B3"/>
    <w:rsid w:val="002758C2"/>
    <w:rsid w:val="00276EFD"/>
    <w:rsid w:val="00277228"/>
    <w:rsid w:val="00284526"/>
    <w:rsid w:val="002846B8"/>
    <w:rsid w:val="002918A5"/>
    <w:rsid w:val="00296FB8"/>
    <w:rsid w:val="002A2A04"/>
    <w:rsid w:val="002A42C5"/>
    <w:rsid w:val="002A5677"/>
    <w:rsid w:val="002A5CF1"/>
    <w:rsid w:val="002A6153"/>
    <w:rsid w:val="002B046B"/>
    <w:rsid w:val="002B0B9F"/>
    <w:rsid w:val="002B1AD6"/>
    <w:rsid w:val="002B5A23"/>
    <w:rsid w:val="002B65BF"/>
    <w:rsid w:val="002B753A"/>
    <w:rsid w:val="002C2C42"/>
    <w:rsid w:val="002C303F"/>
    <w:rsid w:val="002D562B"/>
    <w:rsid w:val="002E02AB"/>
    <w:rsid w:val="002E1430"/>
    <w:rsid w:val="002E1FE4"/>
    <w:rsid w:val="002E3020"/>
    <w:rsid w:val="002E55DE"/>
    <w:rsid w:val="002F232E"/>
    <w:rsid w:val="002F4C59"/>
    <w:rsid w:val="002F66D1"/>
    <w:rsid w:val="002F670E"/>
    <w:rsid w:val="002F7B57"/>
    <w:rsid w:val="00301720"/>
    <w:rsid w:val="00304B35"/>
    <w:rsid w:val="0030592C"/>
    <w:rsid w:val="00306E39"/>
    <w:rsid w:val="00307312"/>
    <w:rsid w:val="00310091"/>
    <w:rsid w:val="003108FA"/>
    <w:rsid w:val="0031200F"/>
    <w:rsid w:val="00312909"/>
    <w:rsid w:val="003130A0"/>
    <w:rsid w:val="003158CF"/>
    <w:rsid w:val="00317808"/>
    <w:rsid w:val="00317C08"/>
    <w:rsid w:val="0032452A"/>
    <w:rsid w:val="0032498C"/>
    <w:rsid w:val="00326CB6"/>
    <w:rsid w:val="00326D60"/>
    <w:rsid w:val="00334712"/>
    <w:rsid w:val="00335535"/>
    <w:rsid w:val="003368AE"/>
    <w:rsid w:val="003375F4"/>
    <w:rsid w:val="00342AC3"/>
    <w:rsid w:val="00346DAF"/>
    <w:rsid w:val="00350570"/>
    <w:rsid w:val="003629F0"/>
    <w:rsid w:val="00371ABE"/>
    <w:rsid w:val="00372776"/>
    <w:rsid w:val="00374F14"/>
    <w:rsid w:val="00376DF2"/>
    <w:rsid w:val="00383958"/>
    <w:rsid w:val="00384740"/>
    <w:rsid w:val="00384927"/>
    <w:rsid w:val="00385247"/>
    <w:rsid w:val="00385359"/>
    <w:rsid w:val="00385B20"/>
    <w:rsid w:val="00390839"/>
    <w:rsid w:val="0039103F"/>
    <w:rsid w:val="003A04EB"/>
    <w:rsid w:val="003A22E9"/>
    <w:rsid w:val="003A293F"/>
    <w:rsid w:val="003A5BD1"/>
    <w:rsid w:val="003B5C81"/>
    <w:rsid w:val="003B6AD6"/>
    <w:rsid w:val="003C16E7"/>
    <w:rsid w:val="003C43F8"/>
    <w:rsid w:val="003C46B4"/>
    <w:rsid w:val="003C532E"/>
    <w:rsid w:val="003D22FE"/>
    <w:rsid w:val="003D2C01"/>
    <w:rsid w:val="003E0C40"/>
    <w:rsid w:val="003E1AC6"/>
    <w:rsid w:val="003E557C"/>
    <w:rsid w:val="003F0869"/>
    <w:rsid w:val="003F218A"/>
    <w:rsid w:val="003F22A9"/>
    <w:rsid w:val="003F7C42"/>
    <w:rsid w:val="00401A05"/>
    <w:rsid w:val="004020CA"/>
    <w:rsid w:val="00402980"/>
    <w:rsid w:val="0040336B"/>
    <w:rsid w:val="00405DB8"/>
    <w:rsid w:val="00406823"/>
    <w:rsid w:val="00410947"/>
    <w:rsid w:val="00410968"/>
    <w:rsid w:val="00413565"/>
    <w:rsid w:val="004142DA"/>
    <w:rsid w:val="00420882"/>
    <w:rsid w:val="004226DE"/>
    <w:rsid w:val="00425311"/>
    <w:rsid w:val="00427C49"/>
    <w:rsid w:val="00430AA9"/>
    <w:rsid w:val="00431DB8"/>
    <w:rsid w:val="004341BB"/>
    <w:rsid w:val="0044167E"/>
    <w:rsid w:val="0044514A"/>
    <w:rsid w:val="004453FE"/>
    <w:rsid w:val="00451587"/>
    <w:rsid w:val="004546BD"/>
    <w:rsid w:val="0045754C"/>
    <w:rsid w:val="004577F2"/>
    <w:rsid w:val="004637AD"/>
    <w:rsid w:val="00465339"/>
    <w:rsid w:val="00465570"/>
    <w:rsid w:val="00467B85"/>
    <w:rsid w:val="00473B86"/>
    <w:rsid w:val="00473DEF"/>
    <w:rsid w:val="004754DB"/>
    <w:rsid w:val="004755D5"/>
    <w:rsid w:val="00481A3A"/>
    <w:rsid w:val="00486826"/>
    <w:rsid w:val="00495575"/>
    <w:rsid w:val="004962CA"/>
    <w:rsid w:val="004A07B3"/>
    <w:rsid w:val="004A2DCD"/>
    <w:rsid w:val="004A32EC"/>
    <w:rsid w:val="004A373A"/>
    <w:rsid w:val="004B300B"/>
    <w:rsid w:val="004B3A3A"/>
    <w:rsid w:val="004B63D6"/>
    <w:rsid w:val="004B72FD"/>
    <w:rsid w:val="004B7A3F"/>
    <w:rsid w:val="004C01DC"/>
    <w:rsid w:val="004C0283"/>
    <w:rsid w:val="004C0DC1"/>
    <w:rsid w:val="004C4DE0"/>
    <w:rsid w:val="004C53F0"/>
    <w:rsid w:val="004C7640"/>
    <w:rsid w:val="004C78FE"/>
    <w:rsid w:val="004D0E8B"/>
    <w:rsid w:val="004D4350"/>
    <w:rsid w:val="004D457B"/>
    <w:rsid w:val="004D5C6E"/>
    <w:rsid w:val="004D707E"/>
    <w:rsid w:val="004E040A"/>
    <w:rsid w:val="004E120F"/>
    <w:rsid w:val="004E12C6"/>
    <w:rsid w:val="004E3712"/>
    <w:rsid w:val="004E38D1"/>
    <w:rsid w:val="004E60E3"/>
    <w:rsid w:val="004E7F5C"/>
    <w:rsid w:val="004F1F12"/>
    <w:rsid w:val="004F1FA9"/>
    <w:rsid w:val="004F2EEE"/>
    <w:rsid w:val="004F4173"/>
    <w:rsid w:val="004F449A"/>
    <w:rsid w:val="004F6418"/>
    <w:rsid w:val="00500725"/>
    <w:rsid w:val="005020B8"/>
    <w:rsid w:val="00504E84"/>
    <w:rsid w:val="005066CF"/>
    <w:rsid w:val="00507DE7"/>
    <w:rsid w:val="005103EB"/>
    <w:rsid w:val="00511894"/>
    <w:rsid w:val="00517EA3"/>
    <w:rsid w:val="005204C8"/>
    <w:rsid w:val="00521297"/>
    <w:rsid w:val="0052168F"/>
    <w:rsid w:val="00522C9C"/>
    <w:rsid w:val="005247D1"/>
    <w:rsid w:val="00524D67"/>
    <w:rsid w:val="005327BD"/>
    <w:rsid w:val="0053374F"/>
    <w:rsid w:val="00533F7B"/>
    <w:rsid w:val="00534E0E"/>
    <w:rsid w:val="00536F3F"/>
    <w:rsid w:val="0054198E"/>
    <w:rsid w:val="00544521"/>
    <w:rsid w:val="00544680"/>
    <w:rsid w:val="00544A7A"/>
    <w:rsid w:val="0054675B"/>
    <w:rsid w:val="00550C37"/>
    <w:rsid w:val="00551639"/>
    <w:rsid w:val="005551A1"/>
    <w:rsid w:val="00556322"/>
    <w:rsid w:val="0055662D"/>
    <w:rsid w:val="00557794"/>
    <w:rsid w:val="00560478"/>
    <w:rsid w:val="00560925"/>
    <w:rsid w:val="00564BDD"/>
    <w:rsid w:val="00565A34"/>
    <w:rsid w:val="00566CD6"/>
    <w:rsid w:val="00571298"/>
    <w:rsid w:val="00572CC3"/>
    <w:rsid w:val="00573229"/>
    <w:rsid w:val="00573237"/>
    <w:rsid w:val="005827C3"/>
    <w:rsid w:val="00583396"/>
    <w:rsid w:val="00583735"/>
    <w:rsid w:val="00584273"/>
    <w:rsid w:val="005864F3"/>
    <w:rsid w:val="00587DE1"/>
    <w:rsid w:val="00590331"/>
    <w:rsid w:val="005945A4"/>
    <w:rsid w:val="00594B02"/>
    <w:rsid w:val="00596B9B"/>
    <w:rsid w:val="00596BE3"/>
    <w:rsid w:val="00596CC0"/>
    <w:rsid w:val="00597B51"/>
    <w:rsid w:val="005A1702"/>
    <w:rsid w:val="005A1A6F"/>
    <w:rsid w:val="005A1D2A"/>
    <w:rsid w:val="005A1E06"/>
    <w:rsid w:val="005A1E3C"/>
    <w:rsid w:val="005A4608"/>
    <w:rsid w:val="005A647E"/>
    <w:rsid w:val="005B04A8"/>
    <w:rsid w:val="005B4ADE"/>
    <w:rsid w:val="005C140A"/>
    <w:rsid w:val="005C34C7"/>
    <w:rsid w:val="005C7CBB"/>
    <w:rsid w:val="005D1581"/>
    <w:rsid w:val="005D5A9C"/>
    <w:rsid w:val="005E1F8C"/>
    <w:rsid w:val="005E51C9"/>
    <w:rsid w:val="005E53AD"/>
    <w:rsid w:val="005E5F88"/>
    <w:rsid w:val="005E72A7"/>
    <w:rsid w:val="005F1D46"/>
    <w:rsid w:val="005F43D8"/>
    <w:rsid w:val="005F533D"/>
    <w:rsid w:val="005F5B35"/>
    <w:rsid w:val="005F7EA2"/>
    <w:rsid w:val="005F7F4F"/>
    <w:rsid w:val="00600970"/>
    <w:rsid w:val="00603AB5"/>
    <w:rsid w:val="00603F83"/>
    <w:rsid w:val="0060573E"/>
    <w:rsid w:val="00612ABB"/>
    <w:rsid w:val="00613697"/>
    <w:rsid w:val="0061377E"/>
    <w:rsid w:val="00617D64"/>
    <w:rsid w:val="00621A70"/>
    <w:rsid w:val="00627BD7"/>
    <w:rsid w:val="00627C23"/>
    <w:rsid w:val="006309FD"/>
    <w:rsid w:val="00632432"/>
    <w:rsid w:val="006426EC"/>
    <w:rsid w:val="00645595"/>
    <w:rsid w:val="00650D02"/>
    <w:rsid w:val="00650E00"/>
    <w:rsid w:val="00650ECF"/>
    <w:rsid w:val="00653B7D"/>
    <w:rsid w:val="00654556"/>
    <w:rsid w:val="00655C6A"/>
    <w:rsid w:val="0066095C"/>
    <w:rsid w:val="00660D9A"/>
    <w:rsid w:val="00661192"/>
    <w:rsid w:val="00670C94"/>
    <w:rsid w:val="00682D09"/>
    <w:rsid w:val="00684058"/>
    <w:rsid w:val="00685BDC"/>
    <w:rsid w:val="0068722A"/>
    <w:rsid w:val="006902F4"/>
    <w:rsid w:val="006905CE"/>
    <w:rsid w:val="00693B58"/>
    <w:rsid w:val="00696632"/>
    <w:rsid w:val="006A4427"/>
    <w:rsid w:val="006A4AC7"/>
    <w:rsid w:val="006A7A16"/>
    <w:rsid w:val="006A7C78"/>
    <w:rsid w:val="006D33B6"/>
    <w:rsid w:val="006D6061"/>
    <w:rsid w:val="006D6165"/>
    <w:rsid w:val="006D79CD"/>
    <w:rsid w:val="006D7B23"/>
    <w:rsid w:val="006E16AA"/>
    <w:rsid w:val="006E203E"/>
    <w:rsid w:val="006E4E7C"/>
    <w:rsid w:val="006E5832"/>
    <w:rsid w:val="006F0C66"/>
    <w:rsid w:val="006F1C9C"/>
    <w:rsid w:val="006F6E59"/>
    <w:rsid w:val="007003D1"/>
    <w:rsid w:val="00700410"/>
    <w:rsid w:val="0070271D"/>
    <w:rsid w:val="00702C15"/>
    <w:rsid w:val="007041CD"/>
    <w:rsid w:val="00704BC8"/>
    <w:rsid w:val="00705680"/>
    <w:rsid w:val="00707083"/>
    <w:rsid w:val="00716C35"/>
    <w:rsid w:val="00716CF3"/>
    <w:rsid w:val="007178BE"/>
    <w:rsid w:val="00721287"/>
    <w:rsid w:val="007214D9"/>
    <w:rsid w:val="00723001"/>
    <w:rsid w:val="0072427A"/>
    <w:rsid w:val="00724CE3"/>
    <w:rsid w:val="00725340"/>
    <w:rsid w:val="0073211D"/>
    <w:rsid w:val="00733A06"/>
    <w:rsid w:val="00734CC4"/>
    <w:rsid w:val="00735992"/>
    <w:rsid w:val="00740F7D"/>
    <w:rsid w:val="00741153"/>
    <w:rsid w:val="007466E5"/>
    <w:rsid w:val="00747D76"/>
    <w:rsid w:val="00747F84"/>
    <w:rsid w:val="007539D4"/>
    <w:rsid w:val="007554C2"/>
    <w:rsid w:val="007576D3"/>
    <w:rsid w:val="00763EE0"/>
    <w:rsid w:val="007677BC"/>
    <w:rsid w:val="0077089D"/>
    <w:rsid w:val="00771B71"/>
    <w:rsid w:val="00773EDE"/>
    <w:rsid w:val="00775D18"/>
    <w:rsid w:val="00783A02"/>
    <w:rsid w:val="00787304"/>
    <w:rsid w:val="00791AA8"/>
    <w:rsid w:val="007938D6"/>
    <w:rsid w:val="00795B04"/>
    <w:rsid w:val="007A0077"/>
    <w:rsid w:val="007A0255"/>
    <w:rsid w:val="007A1350"/>
    <w:rsid w:val="007A4239"/>
    <w:rsid w:val="007A4A8B"/>
    <w:rsid w:val="007A6FC9"/>
    <w:rsid w:val="007A7C83"/>
    <w:rsid w:val="007B0B67"/>
    <w:rsid w:val="007B4AC4"/>
    <w:rsid w:val="007C2E79"/>
    <w:rsid w:val="007C31AF"/>
    <w:rsid w:val="007C34C6"/>
    <w:rsid w:val="007C3553"/>
    <w:rsid w:val="007C7C20"/>
    <w:rsid w:val="007C7FC8"/>
    <w:rsid w:val="007D0C09"/>
    <w:rsid w:val="007D2E64"/>
    <w:rsid w:val="007D3F7C"/>
    <w:rsid w:val="007D615B"/>
    <w:rsid w:val="007D6C50"/>
    <w:rsid w:val="007E2211"/>
    <w:rsid w:val="007E49B3"/>
    <w:rsid w:val="007F265B"/>
    <w:rsid w:val="007F7617"/>
    <w:rsid w:val="00800F5C"/>
    <w:rsid w:val="00802010"/>
    <w:rsid w:val="008030C4"/>
    <w:rsid w:val="0081006E"/>
    <w:rsid w:val="00810A15"/>
    <w:rsid w:val="008129D8"/>
    <w:rsid w:val="00814FFF"/>
    <w:rsid w:val="008176BD"/>
    <w:rsid w:val="008311DE"/>
    <w:rsid w:val="00832276"/>
    <w:rsid w:val="00841D0B"/>
    <w:rsid w:val="008448A6"/>
    <w:rsid w:val="00853327"/>
    <w:rsid w:val="0085768A"/>
    <w:rsid w:val="00860D83"/>
    <w:rsid w:val="00866CC3"/>
    <w:rsid w:val="00873F58"/>
    <w:rsid w:val="0087402A"/>
    <w:rsid w:val="00876AE7"/>
    <w:rsid w:val="008813A3"/>
    <w:rsid w:val="0088143F"/>
    <w:rsid w:val="00882A7B"/>
    <w:rsid w:val="00883418"/>
    <w:rsid w:val="00883685"/>
    <w:rsid w:val="008857FE"/>
    <w:rsid w:val="00886FA6"/>
    <w:rsid w:val="00887EE9"/>
    <w:rsid w:val="0089071A"/>
    <w:rsid w:val="00895B41"/>
    <w:rsid w:val="00897218"/>
    <w:rsid w:val="00897F11"/>
    <w:rsid w:val="008A0244"/>
    <w:rsid w:val="008A3818"/>
    <w:rsid w:val="008A402A"/>
    <w:rsid w:val="008A4318"/>
    <w:rsid w:val="008A7EE6"/>
    <w:rsid w:val="008B2897"/>
    <w:rsid w:val="008C1D30"/>
    <w:rsid w:val="008C239A"/>
    <w:rsid w:val="008C300A"/>
    <w:rsid w:val="008C35F5"/>
    <w:rsid w:val="008C4CCB"/>
    <w:rsid w:val="008D0F0B"/>
    <w:rsid w:val="008D4084"/>
    <w:rsid w:val="008D71DF"/>
    <w:rsid w:val="008D7E3E"/>
    <w:rsid w:val="008E00E7"/>
    <w:rsid w:val="008E3D37"/>
    <w:rsid w:val="008E55CF"/>
    <w:rsid w:val="008E5C70"/>
    <w:rsid w:val="008E7AA0"/>
    <w:rsid w:val="008F0AC1"/>
    <w:rsid w:val="008F2C3F"/>
    <w:rsid w:val="008F31CB"/>
    <w:rsid w:val="008F3357"/>
    <w:rsid w:val="008F4461"/>
    <w:rsid w:val="00900E46"/>
    <w:rsid w:val="009032FC"/>
    <w:rsid w:val="00904438"/>
    <w:rsid w:val="009060A4"/>
    <w:rsid w:val="00906E3B"/>
    <w:rsid w:val="009103F3"/>
    <w:rsid w:val="00914489"/>
    <w:rsid w:val="0091448E"/>
    <w:rsid w:val="0091742E"/>
    <w:rsid w:val="00917436"/>
    <w:rsid w:val="00917ABE"/>
    <w:rsid w:val="009237F5"/>
    <w:rsid w:val="0092466C"/>
    <w:rsid w:val="00930CE2"/>
    <w:rsid w:val="009315FC"/>
    <w:rsid w:val="0094059A"/>
    <w:rsid w:val="009472EE"/>
    <w:rsid w:val="0094768D"/>
    <w:rsid w:val="0096012B"/>
    <w:rsid w:val="009627A0"/>
    <w:rsid w:val="00962980"/>
    <w:rsid w:val="00965DBD"/>
    <w:rsid w:val="0097010F"/>
    <w:rsid w:val="009709C4"/>
    <w:rsid w:val="00973102"/>
    <w:rsid w:val="00975930"/>
    <w:rsid w:val="00980424"/>
    <w:rsid w:val="00984255"/>
    <w:rsid w:val="00992EBB"/>
    <w:rsid w:val="00993B43"/>
    <w:rsid w:val="00994BA9"/>
    <w:rsid w:val="0099511E"/>
    <w:rsid w:val="009978F1"/>
    <w:rsid w:val="009A1FFE"/>
    <w:rsid w:val="009A4C66"/>
    <w:rsid w:val="009A68A8"/>
    <w:rsid w:val="009A725E"/>
    <w:rsid w:val="009C2B93"/>
    <w:rsid w:val="009C5141"/>
    <w:rsid w:val="009D26C9"/>
    <w:rsid w:val="009D2B75"/>
    <w:rsid w:val="009E28A5"/>
    <w:rsid w:val="009E617D"/>
    <w:rsid w:val="009E79E5"/>
    <w:rsid w:val="009E7C20"/>
    <w:rsid w:val="009E7FE6"/>
    <w:rsid w:val="009F6DDA"/>
    <w:rsid w:val="009F6FC1"/>
    <w:rsid w:val="00A011E0"/>
    <w:rsid w:val="00A02D4D"/>
    <w:rsid w:val="00A0310F"/>
    <w:rsid w:val="00A1630F"/>
    <w:rsid w:val="00A1797E"/>
    <w:rsid w:val="00A20506"/>
    <w:rsid w:val="00A258AD"/>
    <w:rsid w:val="00A27BF1"/>
    <w:rsid w:val="00A367DF"/>
    <w:rsid w:val="00A401CA"/>
    <w:rsid w:val="00A401CF"/>
    <w:rsid w:val="00A40AD9"/>
    <w:rsid w:val="00A446EB"/>
    <w:rsid w:val="00A46347"/>
    <w:rsid w:val="00A51231"/>
    <w:rsid w:val="00A51362"/>
    <w:rsid w:val="00A51AFD"/>
    <w:rsid w:val="00A535F9"/>
    <w:rsid w:val="00A5726B"/>
    <w:rsid w:val="00A60F5F"/>
    <w:rsid w:val="00A62037"/>
    <w:rsid w:val="00A62294"/>
    <w:rsid w:val="00A71155"/>
    <w:rsid w:val="00A73014"/>
    <w:rsid w:val="00A75E6C"/>
    <w:rsid w:val="00A76611"/>
    <w:rsid w:val="00A774F7"/>
    <w:rsid w:val="00A81AD8"/>
    <w:rsid w:val="00A83E5E"/>
    <w:rsid w:val="00A848FD"/>
    <w:rsid w:val="00A84EFA"/>
    <w:rsid w:val="00A85997"/>
    <w:rsid w:val="00A9254C"/>
    <w:rsid w:val="00A92E66"/>
    <w:rsid w:val="00A95F36"/>
    <w:rsid w:val="00A96B00"/>
    <w:rsid w:val="00A970CB"/>
    <w:rsid w:val="00AA0256"/>
    <w:rsid w:val="00AA240C"/>
    <w:rsid w:val="00AA3061"/>
    <w:rsid w:val="00AA3141"/>
    <w:rsid w:val="00AA3365"/>
    <w:rsid w:val="00AA365D"/>
    <w:rsid w:val="00AA3F35"/>
    <w:rsid w:val="00AB07AB"/>
    <w:rsid w:val="00AB11CE"/>
    <w:rsid w:val="00AB1BEE"/>
    <w:rsid w:val="00AB3D54"/>
    <w:rsid w:val="00AB4CFC"/>
    <w:rsid w:val="00AB4EB5"/>
    <w:rsid w:val="00AB678D"/>
    <w:rsid w:val="00AC0409"/>
    <w:rsid w:val="00AC458C"/>
    <w:rsid w:val="00AC59C8"/>
    <w:rsid w:val="00AC770C"/>
    <w:rsid w:val="00AD6D41"/>
    <w:rsid w:val="00AE0366"/>
    <w:rsid w:val="00AE0ACC"/>
    <w:rsid w:val="00AE20CB"/>
    <w:rsid w:val="00AE410C"/>
    <w:rsid w:val="00AE4A8C"/>
    <w:rsid w:val="00AE4CC6"/>
    <w:rsid w:val="00AE59FE"/>
    <w:rsid w:val="00AE5AF2"/>
    <w:rsid w:val="00AF0C6D"/>
    <w:rsid w:val="00AF3644"/>
    <w:rsid w:val="00AF45D2"/>
    <w:rsid w:val="00AF5062"/>
    <w:rsid w:val="00B06E9C"/>
    <w:rsid w:val="00B07071"/>
    <w:rsid w:val="00B10FA9"/>
    <w:rsid w:val="00B11769"/>
    <w:rsid w:val="00B14397"/>
    <w:rsid w:val="00B15453"/>
    <w:rsid w:val="00B1777F"/>
    <w:rsid w:val="00B17AB1"/>
    <w:rsid w:val="00B20BF9"/>
    <w:rsid w:val="00B215BA"/>
    <w:rsid w:val="00B22A8D"/>
    <w:rsid w:val="00B24818"/>
    <w:rsid w:val="00B254ED"/>
    <w:rsid w:val="00B257FE"/>
    <w:rsid w:val="00B326EF"/>
    <w:rsid w:val="00B33692"/>
    <w:rsid w:val="00B34746"/>
    <w:rsid w:val="00B43E61"/>
    <w:rsid w:val="00B531F7"/>
    <w:rsid w:val="00B53F50"/>
    <w:rsid w:val="00B56F37"/>
    <w:rsid w:val="00B62342"/>
    <w:rsid w:val="00B707A2"/>
    <w:rsid w:val="00B769D2"/>
    <w:rsid w:val="00B83F63"/>
    <w:rsid w:val="00B873B0"/>
    <w:rsid w:val="00B91E7F"/>
    <w:rsid w:val="00B91E89"/>
    <w:rsid w:val="00B91F34"/>
    <w:rsid w:val="00B94AC7"/>
    <w:rsid w:val="00BA47FE"/>
    <w:rsid w:val="00BA7A38"/>
    <w:rsid w:val="00BB06BE"/>
    <w:rsid w:val="00BB377A"/>
    <w:rsid w:val="00BC0156"/>
    <w:rsid w:val="00BC2D3F"/>
    <w:rsid w:val="00BC3D32"/>
    <w:rsid w:val="00BC664E"/>
    <w:rsid w:val="00BC75FA"/>
    <w:rsid w:val="00BD0BB1"/>
    <w:rsid w:val="00BD0C10"/>
    <w:rsid w:val="00BD1AC3"/>
    <w:rsid w:val="00BE398C"/>
    <w:rsid w:val="00BF44EE"/>
    <w:rsid w:val="00BF5D3A"/>
    <w:rsid w:val="00C040AB"/>
    <w:rsid w:val="00C10048"/>
    <w:rsid w:val="00C13A34"/>
    <w:rsid w:val="00C15747"/>
    <w:rsid w:val="00C22647"/>
    <w:rsid w:val="00C23184"/>
    <w:rsid w:val="00C26F54"/>
    <w:rsid w:val="00C30183"/>
    <w:rsid w:val="00C406B2"/>
    <w:rsid w:val="00C433D0"/>
    <w:rsid w:val="00C5349E"/>
    <w:rsid w:val="00C546B3"/>
    <w:rsid w:val="00C56459"/>
    <w:rsid w:val="00C57627"/>
    <w:rsid w:val="00C624B2"/>
    <w:rsid w:val="00C633D3"/>
    <w:rsid w:val="00C64261"/>
    <w:rsid w:val="00C6477A"/>
    <w:rsid w:val="00C740DE"/>
    <w:rsid w:val="00C7724F"/>
    <w:rsid w:val="00C77701"/>
    <w:rsid w:val="00C80398"/>
    <w:rsid w:val="00C818C6"/>
    <w:rsid w:val="00C8299D"/>
    <w:rsid w:val="00C82A78"/>
    <w:rsid w:val="00C946ED"/>
    <w:rsid w:val="00C96A1F"/>
    <w:rsid w:val="00CA0E13"/>
    <w:rsid w:val="00CA1951"/>
    <w:rsid w:val="00CA227F"/>
    <w:rsid w:val="00CA70FA"/>
    <w:rsid w:val="00CB4B34"/>
    <w:rsid w:val="00CB7539"/>
    <w:rsid w:val="00CB7873"/>
    <w:rsid w:val="00CC009F"/>
    <w:rsid w:val="00CC5A50"/>
    <w:rsid w:val="00CD0018"/>
    <w:rsid w:val="00CD07FE"/>
    <w:rsid w:val="00CD0FC2"/>
    <w:rsid w:val="00CD4040"/>
    <w:rsid w:val="00CE2DEB"/>
    <w:rsid w:val="00CE3112"/>
    <w:rsid w:val="00CE6BC1"/>
    <w:rsid w:val="00CE70B2"/>
    <w:rsid w:val="00CE7CFC"/>
    <w:rsid w:val="00CF1B68"/>
    <w:rsid w:val="00D01CED"/>
    <w:rsid w:val="00D025B7"/>
    <w:rsid w:val="00D13368"/>
    <w:rsid w:val="00D17F7E"/>
    <w:rsid w:val="00D2202F"/>
    <w:rsid w:val="00D276D6"/>
    <w:rsid w:val="00D27A6C"/>
    <w:rsid w:val="00D31E46"/>
    <w:rsid w:val="00D330AD"/>
    <w:rsid w:val="00D3546C"/>
    <w:rsid w:val="00D36538"/>
    <w:rsid w:val="00D4301F"/>
    <w:rsid w:val="00D447C8"/>
    <w:rsid w:val="00D45920"/>
    <w:rsid w:val="00D45AF0"/>
    <w:rsid w:val="00D46E79"/>
    <w:rsid w:val="00D52117"/>
    <w:rsid w:val="00D61162"/>
    <w:rsid w:val="00D61E04"/>
    <w:rsid w:val="00D62A9C"/>
    <w:rsid w:val="00D647BA"/>
    <w:rsid w:val="00D6482C"/>
    <w:rsid w:val="00D67B72"/>
    <w:rsid w:val="00D775D6"/>
    <w:rsid w:val="00D77D15"/>
    <w:rsid w:val="00D812B1"/>
    <w:rsid w:val="00D82C9F"/>
    <w:rsid w:val="00D92ED3"/>
    <w:rsid w:val="00D9317D"/>
    <w:rsid w:val="00DA25F3"/>
    <w:rsid w:val="00DA3CA7"/>
    <w:rsid w:val="00DA5D14"/>
    <w:rsid w:val="00DB5700"/>
    <w:rsid w:val="00DB72ED"/>
    <w:rsid w:val="00DB79B0"/>
    <w:rsid w:val="00DC1BA7"/>
    <w:rsid w:val="00DC3489"/>
    <w:rsid w:val="00DC585F"/>
    <w:rsid w:val="00DC5C77"/>
    <w:rsid w:val="00DD0C96"/>
    <w:rsid w:val="00DD1A62"/>
    <w:rsid w:val="00DD30B3"/>
    <w:rsid w:val="00DD7945"/>
    <w:rsid w:val="00DE4ACB"/>
    <w:rsid w:val="00DF5856"/>
    <w:rsid w:val="00E00181"/>
    <w:rsid w:val="00E0041A"/>
    <w:rsid w:val="00E05D94"/>
    <w:rsid w:val="00E1149E"/>
    <w:rsid w:val="00E130F4"/>
    <w:rsid w:val="00E139E4"/>
    <w:rsid w:val="00E14A62"/>
    <w:rsid w:val="00E2096C"/>
    <w:rsid w:val="00E2150C"/>
    <w:rsid w:val="00E2260C"/>
    <w:rsid w:val="00E30E2C"/>
    <w:rsid w:val="00E33205"/>
    <w:rsid w:val="00E33D94"/>
    <w:rsid w:val="00E4303A"/>
    <w:rsid w:val="00E455C6"/>
    <w:rsid w:val="00E45C5C"/>
    <w:rsid w:val="00E519AA"/>
    <w:rsid w:val="00E54A4B"/>
    <w:rsid w:val="00E63586"/>
    <w:rsid w:val="00E64114"/>
    <w:rsid w:val="00E727C1"/>
    <w:rsid w:val="00E72D08"/>
    <w:rsid w:val="00E759FC"/>
    <w:rsid w:val="00E75C27"/>
    <w:rsid w:val="00E76575"/>
    <w:rsid w:val="00E7744B"/>
    <w:rsid w:val="00E804E0"/>
    <w:rsid w:val="00E8056B"/>
    <w:rsid w:val="00E80815"/>
    <w:rsid w:val="00E84555"/>
    <w:rsid w:val="00E90AE9"/>
    <w:rsid w:val="00E9174C"/>
    <w:rsid w:val="00E952CE"/>
    <w:rsid w:val="00EA0C63"/>
    <w:rsid w:val="00EB0363"/>
    <w:rsid w:val="00EB32D7"/>
    <w:rsid w:val="00EB5C59"/>
    <w:rsid w:val="00EB69F8"/>
    <w:rsid w:val="00EC5C08"/>
    <w:rsid w:val="00ED16E1"/>
    <w:rsid w:val="00ED1C07"/>
    <w:rsid w:val="00ED2BF7"/>
    <w:rsid w:val="00ED4C9B"/>
    <w:rsid w:val="00EE0BF5"/>
    <w:rsid w:val="00EE17D1"/>
    <w:rsid w:val="00EE222A"/>
    <w:rsid w:val="00EE34E9"/>
    <w:rsid w:val="00EE3808"/>
    <w:rsid w:val="00EE5132"/>
    <w:rsid w:val="00EE66B4"/>
    <w:rsid w:val="00EE6F1F"/>
    <w:rsid w:val="00EE71E8"/>
    <w:rsid w:val="00EE7AB6"/>
    <w:rsid w:val="00EF0986"/>
    <w:rsid w:val="00EF2619"/>
    <w:rsid w:val="00EF6222"/>
    <w:rsid w:val="00EF63E9"/>
    <w:rsid w:val="00EF6A63"/>
    <w:rsid w:val="00EF6B15"/>
    <w:rsid w:val="00F01F09"/>
    <w:rsid w:val="00F036A0"/>
    <w:rsid w:val="00F04DF8"/>
    <w:rsid w:val="00F05C91"/>
    <w:rsid w:val="00F075B6"/>
    <w:rsid w:val="00F07C1B"/>
    <w:rsid w:val="00F12DEC"/>
    <w:rsid w:val="00F22F31"/>
    <w:rsid w:val="00F271C0"/>
    <w:rsid w:val="00F31C74"/>
    <w:rsid w:val="00F3203A"/>
    <w:rsid w:val="00F327F4"/>
    <w:rsid w:val="00F378E0"/>
    <w:rsid w:val="00F41E19"/>
    <w:rsid w:val="00F42AA6"/>
    <w:rsid w:val="00F452FB"/>
    <w:rsid w:val="00F47614"/>
    <w:rsid w:val="00F506A2"/>
    <w:rsid w:val="00F541FC"/>
    <w:rsid w:val="00F5738A"/>
    <w:rsid w:val="00F602C9"/>
    <w:rsid w:val="00F64B99"/>
    <w:rsid w:val="00F71909"/>
    <w:rsid w:val="00F72085"/>
    <w:rsid w:val="00F729D4"/>
    <w:rsid w:val="00F74D15"/>
    <w:rsid w:val="00F821D3"/>
    <w:rsid w:val="00F82833"/>
    <w:rsid w:val="00F84557"/>
    <w:rsid w:val="00F84930"/>
    <w:rsid w:val="00F8550C"/>
    <w:rsid w:val="00F86033"/>
    <w:rsid w:val="00F87FE3"/>
    <w:rsid w:val="00F9405F"/>
    <w:rsid w:val="00F94E04"/>
    <w:rsid w:val="00F95525"/>
    <w:rsid w:val="00F95F96"/>
    <w:rsid w:val="00F97DE8"/>
    <w:rsid w:val="00F97E12"/>
    <w:rsid w:val="00FA0653"/>
    <w:rsid w:val="00FA0D97"/>
    <w:rsid w:val="00FA19C0"/>
    <w:rsid w:val="00FA2AF3"/>
    <w:rsid w:val="00FA351A"/>
    <w:rsid w:val="00FA51D2"/>
    <w:rsid w:val="00FA5827"/>
    <w:rsid w:val="00FA594C"/>
    <w:rsid w:val="00FA6207"/>
    <w:rsid w:val="00FA683E"/>
    <w:rsid w:val="00FB22C2"/>
    <w:rsid w:val="00FB304B"/>
    <w:rsid w:val="00FB6621"/>
    <w:rsid w:val="00FB6B7D"/>
    <w:rsid w:val="00FB7901"/>
    <w:rsid w:val="00FC01F3"/>
    <w:rsid w:val="00FC0E9C"/>
    <w:rsid w:val="00FC429C"/>
    <w:rsid w:val="00FC5202"/>
    <w:rsid w:val="00FC6285"/>
    <w:rsid w:val="00FD149C"/>
    <w:rsid w:val="00FD2A47"/>
    <w:rsid w:val="00FD4F2D"/>
    <w:rsid w:val="00FD50C1"/>
    <w:rsid w:val="00FD7EE4"/>
    <w:rsid w:val="00FE09E1"/>
    <w:rsid w:val="00FE0A8E"/>
    <w:rsid w:val="00FE2DC4"/>
    <w:rsid w:val="00FE6514"/>
    <w:rsid w:val="00FF5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C95DC-2AD4-47AC-B308-964FE59C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E13"/>
    <w:pPr>
      <w:spacing w:after="0" w:line="240" w:lineRule="auto"/>
      <w:ind w:left="720"/>
    </w:pPr>
    <w:rPr>
      <w:rFonts w:ascii="Calibri" w:hAnsi="Calibri" w:cs="Calibri"/>
    </w:rPr>
  </w:style>
  <w:style w:type="character" w:styleId="Hyperlink">
    <w:name w:val="Hyperlink"/>
    <w:basedOn w:val="DefaultParagraphFont"/>
    <w:uiPriority w:val="99"/>
    <w:unhideWhenUsed/>
    <w:rsid w:val="00603AB5"/>
    <w:rPr>
      <w:color w:val="0000FF"/>
      <w:u w:val="single"/>
    </w:rPr>
  </w:style>
  <w:style w:type="character" w:customStyle="1" w:styleId="fulltext">
    <w:name w:val="fulltext"/>
    <w:basedOn w:val="DefaultParagraphFont"/>
    <w:rsid w:val="00603AB5"/>
  </w:style>
  <w:style w:type="character" w:styleId="HTMLVariable">
    <w:name w:val="HTML Variable"/>
    <w:basedOn w:val="DefaultParagraphFont"/>
    <w:uiPriority w:val="99"/>
    <w:semiHidden/>
    <w:unhideWhenUsed/>
    <w:rsid w:val="001D708B"/>
    <w:rPr>
      <w:i/>
      <w:iCs/>
    </w:rPr>
  </w:style>
  <w:style w:type="paragraph" w:styleId="NormalWeb">
    <w:name w:val="Normal (Web)"/>
    <w:basedOn w:val="Normal"/>
    <w:uiPriority w:val="99"/>
    <w:semiHidden/>
    <w:unhideWhenUsed/>
    <w:rsid w:val="00F955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32276"/>
    <w:pPr>
      <w:spacing w:after="0" w:line="240" w:lineRule="auto"/>
    </w:pPr>
  </w:style>
  <w:style w:type="character" w:styleId="CommentReference">
    <w:name w:val="annotation reference"/>
    <w:basedOn w:val="DefaultParagraphFont"/>
    <w:uiPriority w:val="99"/>
    <w:semiHidden/>
    <w:unhideWhenUsed/>
    <w:rsid w:val="00B15453"/>
    <w:rPr>
      <w:sz w:val="16"/>
      <w:szCs w:val="16"/>
    </w:rPr>
  </w:style>
  <w:style w:type="paragraph" w:styleId="CommentText">
    <w:name w:val="annotation text"/>
    <w:basedOn w:val="Normal"/>
    <w:link w:val="CommentTextChar"/>
    <w:uiPriority w:val="99"/>
    <w:semiHidden/>
    <w:unhideWhenUsed/>
    <w:rsid w:val="00B15453"/>
    <w:pPr>
      <w:spacing w:line="240" w:lineRule="auto"/>
    </w:pPr>
    <w:rPr>
      <w:sz w:val="20"/>
      <w:szCs w:val="20"/>
    </w:rPr>
  </w:style>
  <w:style w:type="character" w:customStyle="1" w:styleId="CommentTextChar">
    <w:name w:val="Comment Text Char"/>
    <w:basedOn w:val="DefaultParagraphFont"/>
    <w:link w:val="CommentText"/>
    <w:uiPriority w:val="99"/>
    <w:semiHidden/>
    <w:rsid w:val="00B15453"/>
    <w:rPr>
      <w:sz w:val="20"/>
      <w:szCs w:val="20"/>
    </w:rPr>
  </w:style>
  <w:style w:type="paragraph" w:styleId="CommentSubject">
    <w:name w:val="annotation subject"/>
    <w:basedOn w:val="CommentText"/>
    <w:next w:val="CommentText"/>
    <w:link w:val="CommentSubjectChar"/>
    <w:uiPriority w:val="99"/>
    <w:semiHidden/>
    <w:unhideWhenUsed/>
    <w:rsid w:val="00B15453"/>
    <w:rPr>
      <w:b/>
      <w:bCs/>
    </w:rPr>
  </w:style>
  <w:style w:type="character" w:customStyle="1" w:styleId="CommentSubjectChar">
    <w:name w:val="Comment Subject Char"/>
    <w:basedOn w:val="CommentTextChar"/>
    <w:link w:val="CommentSubject"/>
    <w:uiPriority w:val="99"/>
    <w:semiHidden/>
    <w:rsid w:val="00B15453"/>
    <w:rPr>
      <w:b/>
      <w:bCs/>
      <w:sz w:val="20"/>
      <w:szCs w:val="20"/>
    </w:rPr>
  </w:style>
  <w:style w:type="paragraph" w:styleId="BalloonText">
    <w:name w:val="Balloon Text"/>
    <w:basedOn w:val="Normal"/>
    <w:link w:val="BalloonTextChar"/>
    <w:uiPriority w:val="99"/>
    <w:semiHidden/>
    <w:unhideWhenUsed/>
    <w:rsid w:val="00B15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453"/>
    <w:rPr>
      <w:rFonts w:ascii="Tahoma" w:hAnsi="Tahoma" w:cs="Tahoma"/>
      <w:sz w:val="16"/>
      <w:szCs w:val="16"/>
    </w:rPr>
  </w:style>
  <w:style w:type="character" w:styleId="Strong">
    <w:name w:val="Strong"/>
    <w:basedOn w:val="DefaultParagraphFont"/>
    <w:uiPriority w:val="22"/>
    <w:qFormat/>
    <w:rsid w:val="00C946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4699">
      <w:bodyDiv w:val="1"/>
      <w:marLeft w:val="0"/>
      <w:marRight w:val="0"/>
      <w:marTop w:val="0"/>
      <w:marBottom w:val="0"/>
      <w:divBdr>
        <w:top w:val="none" w:sz="0" w:space="0" w:color="auto"/>
        <w:left w:val="none" w:sz="0" w:space="0" w:color="auto"/>
        <w:bottom w:val="none" w:sz="0" w:space="0" w:color="auto"/>
        <w:right w:val="none" w:sz="0" w:space="0" w:color="auto"/>
      </w:divBdr>
    </w:div>
    <w:div w:id="86660764">
      <w:bodyDiv w:val="1"/>
      <w:marLeft w:val="0"/>
      <w:marRight w:val="0"/>
      <w:marTop w:val="0"/>
      <w:marBottom w:val="0"/>
      <w:divBdr>
        <w:top w:val="none" w:sz="0" w:space="0" w:color="auto"/>
        <w:left w:val="none" w:sz="0" w:space="0" w:color="auto"/>
        <w:bottom w:val="none" w:sz="0" w:space="0" w:color="auto"/>
        <w:right w:val="none" w:sz="0" w:space="0" w:color="auto"/>
      </w:divBdr>
    </w:div>
    <w:div w:id="331296216">
      <w:bodyDiv w:val="1"/>
      <w:marLeft w:val="0"/>
      <w:marRight w:val="0"/>
      <w:marTop w:val="0"/>
      <w:marBottom w:val="0"/>
      <w:divBdr>
        <w:top w:val="none" w:sz="0" w:space="0" w:color="auto"/>
        <w:left w:val="none" w:sz="0" w:space="0" w:color="auto"/>
        <w:bottom w:val="none" w:sz="0" w:space="0" w:color="auto"/>
        <w:right w:val="none" w:sz="0" w:space="0" w:color="auto"/>
      </w:divBdr>
      <w:divsChild>
        <w:div w:id="145899173">
          <w:marLeft w:val="0"/>
          <w:marRight w:val="0"/>
          <w:marTop w:val="0"/>
          <w:marBottom w:val="0"/>
          <w:divBdr>
            <w:top w:val="none" w:sz="0" w:space="0" w:color="auto"/>
            <w:left w:val="none" w:sz="0" w:space="0" w:color="auto"/>
            <w:bottom w:val="none" w:sz="0" w:space="0" w:color="auto"/>
            <w:right w:val="none" w:sz="0" w:space="0" w:color="auto"/>
          </w:divBdr>
        </w:div>
        <w:div w:id="1581527911">
          <w:marLeft w:val="0"/>
          <w:marRight w:val="0"/>
          <w:marTop w:val="0"/>
          <w:marBottom w:val="0"/>
          <w:divBdr>
            <w:top w:val="none" w:sz="0" w:space="0" w:color="auto"/>
            <w:left w:val="none" w:sz="0" w:space="0" w:color="auto"/>
            <w:bottom w:val="none" w:sz="0" w:space="0" w:color="auto"/>
            <w:right w:val="none" w:sz="0" w:space="0" w:color="auto"/>
          </w:divBdr>
        </w:div>
        <w:div w:id="228882736">
          <w:marLeft w:val="0"/>
          <w:marRight w:val="0"/>
          <w:marTop w:val="0"/>
          <w:marBottom w:val="0"/>
          <w:divBdr>
            <w:top w:val="none" w:sz="0" w:space="0" w:color="auto"/>
            <w:left w:val="none" w:sz="0" w:space="0" w:color="auto"/>
            <w:bottom w:val="none" w:sz="0" w:space="0" w:color="auto"/>
            <w:right w:val="none" w:sz="0" w:space="0" w:color="auto"/>
          </w:divBdr>
        </w:div>
        <w:div w:id="1531919925">
          <w:marLeft w:val="0"/>
          <w:marRight w:val="0"/>
          <w:marTop w:val="0"/>
          <w:marBottom w:val="0"/>
          <w:divBdr>
            <w:top w:val="none" w:sz="0" w:space="0" w:color="auto"/>
            <w:left w:val="none" w:sz="0" w:space="0" w:color="auto"/>
            <w:bottom w:val="none" w:sz="0" w:space="0" w:color="auto"/>
            <w:right w:val="none" w:sz="0" w:space="0" w:color="auto"/>
          </w:divBdr>
        </w:div>
        <w:div w:id="400056124">
          <w:marLeft w:val="0"/>
          <w:marRight w:val="0"/>
          <w:marTop w:val="0"/>
          <w:marBottom w:val="0"/>
          <w:divBdr>
            <w:top w:val="none" w:sz="0" w:space="0" w:color="auto"/>
            <w:left w:val="none" w:sz="0" w:space="0" w:color="auto"/>
            <w:bottom w:val="none" w:sz="0" w:space="0" w:color="auto"/>
            <w:right w:val="none" w:sz="0" w:space="0" w:color="auto"/>
          </w:divBdr>
        </w:div>
        <w:div w:id="656686176">
          <w:marLeft w:val="0"/>
          <w:marRight w:val="0"/>
          <w:marTop w:val="0"/>
          <w:marBottom w:val="0"/>
          <w:divBdr>
            <w:top w:val="none" w:sz="0" w:space="0" w:color="auto"/>
            <w:left w:val="none" w:sz="0" w:space="0" w:color="auto"/>
            <w:bottom w:val="none" w:sz="0" w:space="0" w:color="auto"/>
            <w:right w:val="none" w:sz="0" w:space="0" w:color="auto"/>
          </w:divBdr>
        </w:div>
        <w:div w:id="1471556376">
          <w:marLeft w:val="0"/>
          <w:marRight w:val="0"/>
          <w:marTop w:val="0"/>
          <w:marBottom w:val="0"/>
          <w:divBdr>
            <w:top w:val="none" w:sz="0" w:space="0" w:color="auto"/>
            <w:left w:val="none" w:sz="0" w:space="0" w:color="auto"/>
            <w:bottom w:val="none" w:sz="0" w:space="0" w:color="auto"/>
            <w:right w:val="none" w:sz="0" w:space="0" w:color="auto"/>
          </w:divBdr>
        </w:div>
        <w:div w:id="1124232302">
          <w:marLeft w:val="0"/>
          <w:marRight w:val="0"/>
          <w:marTop w:val="0"/>
          <w:marBottom w:val="0"/>
          <w:divBdr>
            <w:top w:val="none" w:sz="0" w:space="0" w:color="auto"/>
            <w:left w:val="none" w:sz="0" w:space="0" w:color="auto"/>
            <w:bottom w:val="none" w:sz="0" w:space="0" w:color="auto"/>
            <w:right w:val="none" w:sz="0" w:space="0" w:color="auto"/>
          </w:divBdr>
        </w:div>
        <w:div w:id="1923564689">
          <w:marLeft w:val="0"/>
          <w:marRight w:val="0"/>
          <w:marTop w:val="0"/>
          <w:marBottom w:val="0"/>
          <w:divBdr>
            <w:top w:val="none" w:sz="0" w:space="0" w:color="auto"/>
            <w:left w:val="none" w:sz="0" w:space="0" w:color="auto"/>
            <w:bottom w:val="none" w:sz="0" w:space="0" w:color="auto"/>
            <w:right w:val="none" w:sz="0" w:space="0" w:color="auto"/>
          </w:divBdr>
        </w:div>
        <w:div w:id="239603284">
          <w:marLeft w:val="0"/>
          <w:marRight w:val="0"/>
          <w:marTop w:val="0"/>
          <w:marBottom w:val="0"/>
          <w:divBdr>
            <w:top w:val="none" w:sz="0" w:space="0" w:color="auto"/>
            <w:left w:val="none" w:sz="0" w:space="0" w:color="auto"/>
            <w:bottom w:val="none" w:sz="0" w:space="0" w:color="auto"/>
            <w:right w:val="none" w:sz="0" w:space="0" w:color="auto"/>
          </w:divBdr>
        </w:div>
        <w:div w:id="712924535">
          <w:marLeft w:val="0"/>
          <w:marRight w:val="0"/>
          <w:marTop w:val="0"/>
          <w:marBottom w:val="0"/>
          <w:divBdr>
            <w:top w:val="none" w:sz="0" w:space="0" w:color="auto"/>
            <w:left w:val="none" w:sz="0" w:space="0" w:color="auto"/>
            <w:bottom w:val="none" w:sz="0" w:space="0" w:color="auto"/>
            <w:right w:val="none" w:sz="0" w:space="0" w:color="auto"/>
          </w:divBdr>
        </w:div>
        <w:div w:id="1326130681">
          <w:marLeft w:val="0"/>
          <w:marRight w:val="0"/>
          <w:marTop w:val="0"/>
          <w:marBottom w:val="0"/>
          <w:divBdr>
            <w:top w:val="none" w:sz="0" w:space="0" w:color="auto"/>
            <w:left w:val="none" w:sz="0" w:space="0" w:color="auto"/>
            <w:bottom w:val="none" w:sz="0" w:space="0" w:color="auto"/>
            <w:right w:val="none" w:sz="0" w:space="0" w:color="auto"/>
          </w:divBdr>
        </w:div>
        <w:div w:id="1131630869">
          <w:marLeft w:val="0"/>
          <w:marRight w:val="0"/>
          <w:marTop w:val="0"/>
          <w:marBottom w:val="0"/>
          <w:divBdr>
            <w:top w:val="none" w:sz="0" w:space="0" w:color="auto"/>
            <w:left w:val="none" w:sz="0" w:space="0" w:color="auto"/>
            <w:bottom w:val="none" w:sz="0" w:space="0" w:color="auto"/>
            <w:right w:val="none" w:sz="0" w:space="0" w:color="auto"/>
          </w:divBdr>
        </w:div>
        <w:div w:id="1111709483">
          <w:marLeft w:val="0"/>
          <w:marRight w:val="0"/>
          <w:marTop w:val="0"/>
          <w:marBottom w:val="0"/>
          <w:divBdr>
            <w:top w:val="none" w:sz="0" w:space="0" w:color="auto"/>
            <w:left w:val="none" w:sz="0" w:space="0" w:color="auto"/>
            <w:bottom w:val="none" w:sz="0" w:space="0" w:color="auto"/>
            <w:right w:val="none" w:sz="0" w:space="0" w:color="auto"/>
          </w:divBdr>
        </w:div>
        <w:div w:id="558788652">
          <w:marLeft w:val="0"/>
          <w:marRight w:val="0"/>
          <w:marTop w:val="0"/>
          <w:marBottom w:val="0"/>
          <w:divBdr>
            <w:top w:val="none" w:sz="0" w:space="0" w:color="auto"/>
            <w:left w:val="none" w:sz="0" w:space="0" w:color="auto"/>
            <w:bottom w:val="none" w:sz="0" w:space="0" w:color="auto"/>
            <w:right w:val="none" w:sz="0" w:space="0" w:color="auto"/>
          </w:divBdr>
        </w:div>
        <w:div w:id="1626303317">
          <w:marLeft w:val="0"/>
          <w:marRight w:val="0"/>
          <w:marTop w:val="0"/>
          <w:marBottom w:val="0"/>
          <w:divBdr>
            <w:top w:val="none" w:sz="0" w:space="0" w:color="auto"/>
            <w:left w:val="none" w:sz="0" w:space="0" w:color="auto"/>
            <w:bottom w:val="none" w:sz="0" w:space="0" w:color="auto"/>
            <w:right w:val="none" w:sz="0" w:space="0" w:color="auto"/>
          </w:divBdr>
        </w:div>
        <w:div w:id="1103914082">
          <w:marLeft w:val="0"/>
          <w:marRight w:val="0"/>
          <w:marTop w:val="0"/>
          <w:marBottom w:val="0"/>
          <w:divBdr>
            <w:top w:val="none" w:sz="0" w:space="0" w:color="auto"/>
            <w:left w:val="none" w:sz="0" w:space="0" w:color="auto"/>
            <w:bottom w:val="none" w:sz="0" w:space="0" w:color="auto"/>
            <w:right w:val="none" w:sz="0" w:space="0" w:color="auto"/>
          </w:divBdr>
        </w:div>
        <w:div w:id="732852367">
          <w:marLeft w:val="0"/>
          <w:marRight w:val="0"/>
          <w:marTop w:val="0"/>
          <w:marBottom w:val="0"/>
          <w:divBdr>
            <w:top w:val="none" w:sz="0" w:space="0" w:color="auto"/>
            <w:left w:val="none" w:sz="0" w:space="0" w:color="auto"/>
            <w:bottom w:val="none" w:sz="0" w:space="0" w:color="auto"/>
            <w:right w:val="none" w:sz="0" w:space="0" w:color="auto"/>
          </w:divBdr>
        </w:div>
        <w:div w:id="927616356">
          <w:marLeft w:val="0"/>
          <w:marRight w:val="0"/>
          <w:marTop w:val="0"/>
          <w:marBottom w:val="0"/>
          <w:divBdr>
            <w:top w:val="none" w:sz="0" w:space="0" w:color="auto"/>
            <w:left w:val="none" w:sz="0" w:space="0" w:color="auto"/>
            <w:bottom w:val="none" w:sz="0" w:space="0" w:color="auto"/>
            <w:right w:val="none" w:sz="0" w:space="0" w:color="auto"/>
          </w:divBdr>
        </w:div>
        <w:div w:id="283536870">
          <w:marLeft w:val="0"/>
          <w:marRight w:val="0"/>
          <w:marTop w:val="0"/>
          <w:marBottom w:val="0"/>
          <w:divBdr>
            <w:top w:val="none" w:sz="0" w:space="0" w:color="auto"/>
            <w:left w:val="none" w:sz="0" w:space="0" w:color="auto"/>
            <w:bottom w:val="none" w:sz="0" w:space="0" w:color="auto"/>
            <w:right w:val="none" w:sz="0" w:space="0" w:color="auto"/>
          </w:divBdr>
        </w:div>
        <w:div w:id="842477968">
          <w:marLeft w:val="0"/>
          <w:marRight w:val="0"/>
          <w:marTop w:val="0"/>
          <w:marBottom w:val="0"/>
          <w:divBdr>
            <w:top w:val="none" w:sz="0" w:space="0" w:color="auto"/>
            <w:left w:val="none" w:sz="0" w:space="0" w:color="auto"/>
            <w:bottom w:val="none" w:sz="0" w:space="0" w:color="auto"/>
            <w:right w:val="none" w:sz="0" w:space="0" w:color="auto"/>
          </w:divBdr>
        </w:div>
        <w:div w:id="1771311209">
          <w:marLeft w:val="0"/>
          <w:marRight w:val="0"/>
          <w:marTop w:val="0"/>
          <w:marBottom w:val="0"/>
          <w:divBdr>
            <w:top w:val="none" w:sz="0" w:space="0" w:color="auto"/>
            <w:left w:val="none" w:sz="0" w:space="0" w:color="auto"/>
            <w:bottom w:val="none" w:sz="0" w:space="0" w:color="auto"/>
            <w:right w:val="none" w:sz="0" w:space="0" w:color="auto"/>
          </w:divBdr>
        </w:div>
      </w:divsChild>
    </w:div>
    <w:div w:id="955064633">
      <w:bodyDiv w:val="1"/>
      <w:marLeft w:val="0"/>
      <w:marRight w:val="0"/>
      <w:marTop w:val="0"/>
      <w:marBottom w:val="0"/>
      <w:divBdr>
        <w:top w:val="none" w:sz="0" w:space="0" w:color="auto"/>
        <w:left w:val="none" w:sz="0" w:space="0" w:color="auto"/>
        <w:bottom w:val="none" w:sz="0" w:space="0" w:color="auto"/>
        <w:right w:val="none" w:sz="0" w:space="0" w:color="auto"/>
      </w:divBdr>
    </w:div>
    <w:div w:id="968776583">
      <w:bodyDiv w:val="1"/>
      <w:marLeft w:val="0"/>
      <w:marRight w:val="0"/>
      <w:marTop w:val="0"/>
      <w:marBottom w:val="0"/>
      <w:divBdr>
        <w:top w:val="none" w:sz="0" w:space="0" w:color="auto"/>
        <w:left w:val="none" w:sz="0" w:space="0" w:color="auto"/>
        <w:bottom w:val="none" w:sz="0" w:space="0" w:color="auto"/>
        <w:right w:val="none" w:sz="0" w:space="0" w:color="auto"/>
      </w:divBdr>
      <w:divsChild>
        <w:div w:id="1823497678">
          <w:marLeft w:val="0"/>
          <w:marRight w:val="0"/>
          <w:marTop w:val="0"/>
          <w:marBottom w:val="0"/>
          <w:divBdr>
            <w:top w:val="none" w:sz="0" w:space="0" w:color="auto"/>
            <w:left w:val="none" w:sz="0" w:space="0" w:color="auto"/>
            <w:bottom w:val="none" w:sz="0" w:space="0" w:color="auto"/>
            <w:right w:val="none" w:sz="0" w:space="0" w:color="auto"/>
          </w:divBdr>
        </w:div>
        <w:div w:id="1327248364">
          <w:marLeft w:val="0"/>
          <w:marRight w:val="0"/>
          <w:marTop w:val="0"/>
          <w:marBottom w:val="0"/>
          <w:divBdr>
            <w:top w:val="none" w:sz="0" w:space="0" w:color="auto"/>
            <w:left w:val="none" w:sz="0" w:space="0" w:color="auto"/>
            <w:bottom w:val="none" w:sz="0" w:space="0" w:color="auto"/>
            <w:right w:val="none" w:sz="0" w:space="0" w:color="auto"/>
          </w:divBdr>
        </w:div>
        <w:div w:id="1917010225">
          <w:marLeft w:val="0"/>
          <w:marRight w:val="0"/>
          <w:marTop w:val="0"/>
          <w:marBottom w:val="0"/>
          <w:divBdr>
            <w:top w:val="none" w:sz="0" w:space="0" w:color="auto"/>
            <w:left w:val="none" w:sz="0" w:space="0" w:color="auto"/>
            <w:bottom w:val="none" w:sz="0" w:space="0" w:color="auto"/>
            <w:right w:val="none" w:sz="0" w:space="0" w:color="auto"/>
          </w:divBdr>
        </w:div>
        <w:div w:id="2103254589">
          <w:marLeft w:val="0"/>
          <w:marRight w:val="0"/>
          <w:marTop w:val="0"/>
          <w:marBottom w:val="0"/>
          <w:divBdr>
            <w:top w:val="none" w:sz="0" w:space="0" w:color="auto"/>
            <w:left w:val="none" w:sz="0" w:space="0" w:color="auto"/>
            <w:bottom w:val="none" w:sz="0" w:space="0" w:color="auto"/>
            <w:right w:val="none" w:sz="0" w:space="0" w:color="auto"/>
          </w:divBdr>
        </w:div>
        <w:div w:id="200241770">
          <w:marLeft w:val="0"/>
          <w:marRight w:val="0"/>
          <w:marTop w:val="0"/>
          <w:marBottom w:val="0"/>
          <w:divBdr>
            <w:top w:val="none" w:sz="0" w:space="0" w:color="auto"/>
            <w:left w:val="none" w:sz="0" w:space="0" w:color="auto"/>
            <w:bottom w:val="none" w:sz="0" w:space="0" w:color="auto"/>
            <w:right w:val="none" w:sz="0" w:space="0" w:color="auto"/>
          </w:divBdr>
        </w:div>
        <w:div w:id="1859200444">
          <w:marLeft w:val="0"/>
          <w:marRight w:val="0"/>
          <w:marTop w:val="0"/>
          <w:marBottom w:val="0"/>
          <w:divBdr>
            <w:top w:val="none" w:sz="0" w:space="0" w:color="auto"/>
            <w:left w:val="none" w:sz="0" w:space="0" w:color="auto"/>
            <w:bottom w:val="none" w:sz="0" w:space="0" w:color="auto"/>
            <w:right w:val="none" w:sz="0" w:space="0" w:color="auto"/>
          </w:divBdr>
        </w:div>
        <w:div w:id="598099675">
          <w:marLeft w:val="0"/>
          <w:marRight w:val="0"/>
          <w:marTop w:val="0"/>
          <w:marBottom w:val="0"/>
          <w:divBdr>
            <w:top w:val="none" w:sz="0" w:space="0" w:color="auto"/>
            <w:left w:val="none" w:sz="0" w:space="0" w:color="auto"/>
            <w:bottom w:val="none" w:sz="0" w:space="0" w:color="auto"/>
            <w:right w:val="none" w:sz="0" w:space="0" w:color="auto"/>
          </w:divBdr>
        </w:div>
        <w:div w:id="1835293521">
          <w:marLeft w:val="0"/>
          <w:marRight w:val="0"/>
          <w:marTop w:val="0"/>
          <w:marBottom w:val="0"/>
          <w:divBdr>
            <w:top w:val="none" w:sz="0" w:space="0" w:color="auto"/>
            <w:left w:val="none" w:sz="0" w:space="0" w:color="auto"/>
            <w:bottom w:val="none" w:sz="0" w:space="0" w:color="auto"/>
            <w:right w:val="none" w:sz="0" w:space="0" w:color="auto"/>
          </w:divBdr>
        </w:div>
        <w:div w:id="1683050166">
          <w:marLeft w:val="0"/>
          <w:marRight w:val="0"/>
          <w:marTop w:val="0"/>
          <w:marBottom w:val="0"/>
          <w:divBdr>
            <w:top w:val="none" w:sz="0" w:space="0" w:color="auto"/>
            <w:left w:val="none" w:sz="0" w:space="0" w:color="auto"/>
            <w:bottom w:val="none" w:sz="0" w:space="0" w:color="auto"/>
            <w:right w:val="none" w:sz="0" w:space="0" w:color="auto"/>
          </w:divBdr>
        </w:div>
        <w:div w:id="930822532">
          <w:marLeft w:val="0"/>
          <w:marRight w:val="0"/>
          <w:marTop w:val="0"/>
          <w:marBottom w:val="0"/>
          <w:divBdr>
            <w:top w:val="none" w:sz="0" w:space="0" w:color="auto"/>
            <w:left w:val="none" w:sz="0" w:space="0" w:color="auto"/>
            <w:bottom w:val="none" w:sz="0" w:space="0" w:color="auto"/>
            <w:right w:val="none" w:sz="0" w:space="0" w:color="auto"/>
          </w:divBdr>
        </w:div>
        <w:div w:id="343898688">
          <w:marLeft w:val="0"/>
          <w:marRight w:val="0"/>
          <w:marTop w:val="0"/>
          <w:marBottom w:val="0"/>
          <w:divBdr>
            <w:top w:val="none" w:sz="0" w:space="0" w:color="auto"/>
            <w:left w:val="none" w:sz="0" w:space="0" w:color="auto"/>
            <w:bottom w:val="none" w:sz="0" w:space="0" w:color="auto"/>
            <w:right w:val="none" w:sz="0" w:space="0" w:color="auto"/>
          </w:divBdr>
        </w:div>
        <w:div w:id="200245116">
          <w:marLeft w:val="0"/>
          <w:marRight w:val="0"/>
          <w:marTop w:val="0"/>
          <w:marBottom w:val="0"/>
          <w:divBdr>
            <w:top w:val="none" w:sz="0" w:space="0" w:color="auto"/>
            <w:left w:val="none" w:sz="0" w:space="0" w:color="auto"/>
            <w:bottom w:val="none" w:sz="0" w:space="0" w:color="auto"/>
            <w:right w:val="none" w:sz="0" w:space="0" w:color="auto"/>
          </w:divBdr>
        </w:div>
        <w:div w:id="1613590525">
          <w:marLeft w:val="0"/>
          <w:marRight w:val="0"/>
          <w:marTop w:val="0"/>
          <w:marBottom w:val="0"/>
          <w:divBdr>
            <w:top w:val="none" w:sz="0" w:space="0" w:color="auto"/>
            <w:left w:val="none" w:sz="0" w:space="0" w:color="auto"/>
            <w:bottom w:val="none" w:sz="0" w:space="0" w:color="auto"/>
            <w:right w:val="none" w:sz="0" w:space="0" w:color="auto"/>
          </w:divBdr>
        </w:div>
        <w:div w:id="1411005979">
          <w:marLeft w:val="0"/>
          <w:marRight w:val="0"/>
          <w:marTop w:val="0"/>
          <w:marBottom w:val="0"/>
          <w:divBdr>
            <w:top w:val="none" w:sz="0" w:space="0" w:color="auto"/>
            <w:left w:val="none" w:sz="0" w:space="0" w:color="auto"/>
            <w:bottom w:val="none" w:sz="0" w:space="0" w:color="auto"/>
            <w:right w:val="none" w:sz="0" w:space="0" w:color="auto"/>
          </w:divBdr>
        </w:div>
        <w:div w:id="1029258394">
          <w:marLeft w:val="0"/>
          <w:marRight w:val="0"/>
          <w:marTop w:val="0"/>
          <w:marBottom w:val="0"/>
          <w:divBdr>
            <w:top w:val="none" w:sz="0" w:space="0" w:color="auto"/>
            <w:left w:val="none" w:sz="0" w:space="0" w:color="auto"/>
            <w:bottom w:val="none" w:sz="0" w:space="0" w:color="auto"/>
            <w:right w:val="none" w:sz="0" w:space="0" w:color="auto"/>
          </w:divBdr>
        </w:div>
        <w:div w:id="91165968">
          <w:marLeft w:val="0"/>
          <w:marRight w:val="0"/>
          <w:marTop w:val="0"/>
          <w:marBottom w:val="0"/>
          <w:divBdr>
            <w:top w:val="none" w:sz="0" w:space="0" w:color="auto"/>
            <w:left w:val="none" w:sz="0" w:space="0" w:color="auto"/>
            <w:bottom w:val="none" w:sz="0" w:space="0" w:color="auto"/>
            <w:right w:val="none" w:sz="0" w:space="0" w:color="auto"/>
          </w:divBdr>
        </w:div>
        <w:div w:id="457141854">
          <w:marLeft w:val="0"/>
          <w:marRight w:val="0"/>
          <w:marTop w:val="0"/>
          <w:marBottom w:val="0"/>
          <w:divBdr>
            <w:top w:val="none" w:sz="0" w:space="0" w:color="auto"/>
            <w:left w:val="none" w:sz="0" w:space="0" w:color="auto"/>
            <w:bottom w:val="none" w:sz="0" w:space="0" w:color="auto"/>
            <w:right w:val="none" w:sz="0" w:space="0" w:color="auto"/>
          </w:divBdr>
        </w:div>
        <w:div w:id="1107962357">
          <w:marLeft w:val="0"/>
          <w:marRight w:val="0"/>
          <w:marTop w:val="0"/>
          <w:marBottom w:val="0"/>
          <w:divBdr>
            <w:top w:val="none" w:sz="0" w:space="0" w:color="auto"/>
            <w:left w:val="none" w:sz="0" w:space="0" w:color="auto"/>
            <w:bottom w:val="none" w:sz="0" w:space="0" w:color="auto"/>
            <w:right w:val="none" w:sz="0" w:space="0" w:color="auto"/>
          </w:divBdr>
        </w:div>
        <w:div w:id="1063219937">
          <w:marLeft w:val="0"/>
          <w:marRight w:val="0"/>
          <w:marTop w:val="0"/>
          <w:marBottom w:val="0"/>
          <w:divBdr>
            <w:top w:val="none" w:sz="0" w:space="0" w:color="auto"/>
            <w:left w:val="none" w:sz="0" w:space="0" w:color="auto"/>
            <w:bottom w:val="none" w:sz="0" w:space="0" w:color="auto"/>
            <w:right w:val="none" w:sz="0" w:space="0" w:color="auto"/>
          </w:divBdr>
        </w:div>
        <w:div w:id="1058549043">
          <w:marLeft w:val="0"/>
          <w:marRight w:val="0"/>
          <w:marTop w:val="0"/>
          <w:marBottom w:val="0"/>
          <w:divBdr>
            <w:top w:val="none" w:sz="0" w:space="0" w:color="auto"/>
            <w:left w:val="none" w:sz="0" w:space="0" w:color="auto"/>
            <w:bottom w:val="none" w:sz="0" w:space="0" w:color="auto"/>
            <w:right w:val="none" w:sz="0" w:space="0" w:color="auto"/>
          </w:divBdr>
        </w:div>
        <w:div w:id="181601438">
          <w:marLeft w:val="0"/>
          <w:marRight w:val="0"/>
          <w:marTop w:val="0"/>
          <w:marBottom w:val="0"/>
          <w:divBdr>
            <w:top w:val="none" w:sz="0" w:space="0" w:color="auto"/>
            <w:left w:val="none" w:sz="0" w:space="0" w:color="auto"/>
            <w:bottom w:val="none" w:sz="0" w:space="0" w:color="auto"/>
            <w:right w:val="none" w:sz="0" w:space="0" w:color="auto"/>
          </w:divBdr>
        </w:div>
        <w:div w:id="452133543">
          <w:marLeft w:val="0"/>
          <w:marRight w:val="0"/>
          <w:marTop w:val="0"/>
          <w:marBottom w:val="0"/>
          <w:divBdr>
            <w:top w:val="none" w:sz="0" w:space="0" w:color="auto"/>
            <w:left w:val="none" w:sz="0" w:space="0" w:color="auto"/>
            <w:bottom w:val="none" w:sz="0" w:space="0" w:color="auto"/>
            <w:right w:val="none" w:sz="0" w:space="0" w:color="auto"/>
          </w:divBdr>
        </w:div>
      </w:divsChild>
    </w:div>
    <w:div w:id="1050810773">
      <w:bodyDiv w:val="1"/>
      <w:marLeft w:val="0"/>
      <w:marRight w:val="0"/>
      <w:marTop w:val="0"/>
      <w:marBottom w:val="0"/>
      <w:divBdr>
        <w:top w:val="none" w:sz="0" w:space="0" w:color="auto"/>
        <w:left w:val="none" w:sz="0" w:space="0" w:color="auto"/>
        <w:bottom w:val="none" w:sz="0" w:space="0" w:color="auto"/>
        <w:right w:val="none" w:sz="0" w:space="0" w:color="auto"/>
      </w:divBdr>
    </w:div>
    <w:div w:id="1086922661">
      <w:bodyDiv w:val="1"/>
      <w:marLeft w:val="0"/>
      <w:marRight w:val="0"/>
      <w:marTop w:val="0"/>
      <w:marBottom w:val="0"/>
      <w:divBdr>
        <w:top w:val="none" w:sz="0" w:space="0" w:color="auto"/>
        <w:left w:val="none" w:sz="0" w:space="0" w:color="auto"/>
        <w:bottom w:val="none" w:sz="0" w:space="0" w:color="auto"/>
        <w:right w:val="none" w:sz="0" w:space="0" w:color="auto"/>
      </w:divBdr>
      <w:divsChild>
        <w:div w:id="2096660099">
          <w:marLeft w:val="0"/>
          <w:marRight w:val="0"/>
          <w:marTop w:val="0"/>
          <w:marBottom w:val="0"/>
          <w:divBdr>
            <w:top w:val="none" w:sz="0" w:space="0" w:color="auto"/>
            <w:left w:val="none" w:sz="0" w:space="0" w:color="auto"/>
            <w:bottom w:val="none" w:sz="0" w:space="0" w:color="auto"/>
            <w:right w:val="none" w:sz="0" w:space="0" w:color="auto"/>
          </w:divBdr>
        </w:div>
        <w:div w:id="532037587">
          <w:marLeft w:val="0"/>
          <w:marRight w:val="0"/>
          <w:marTop w:val="0"/>
          <w:marBottom w:val="0"/>
          <w:divBdr>
            <w:top w:val="none" w:sz="0" w:space="0" w:color="auto"/>
            <w:left w:val="none" w:sz="0" w:space="0" w:color="auto"/>
            <w:bottom w:val="none" w:sz="0" w:space="0" w:color="auto"/>
            <w:right w:val="none" w:sz="0" w:space="0" w:color="auto"/>
          </w:divBdr>
        </w:div>
        <w:div w:id="167334749">
          <w:marLeft w:val="0"/>
          <w:marRight w:val="0"/>
          <w:marTop w:val="0"/>
          <w:marBottom w:val="0"/>
          <w:divBdr>
            <w:top w:val="none" w:sz="0" w:space="0" w:color="auto"/>
            <w:left w:val="none" w:sz="0" w:space="0" w:color="auto"/>
            <w:bottom w:val="none" w:sz="0" w:space="0" w:color="auto"/>
            <w:right w:val="none" w:sz="0" w:space="0" w:color="auto"/>
          </w:divBdr>
        </w:div>
        <w:div w:id="1040208219">
          <w:marLeft w:val="0"/>
          <w:marRight w:val="0"/>
          <w:marTop w:val="0"/>
          <w:marBottom w:val="0"/>
          <w:divBdr>
            <w:top w:val="none" w:sz="0" w:space="0" w:color="auto"/>
            <w:left w:val="none" w:sz="0" w:space="0" w:color="auto"/>
            <w:bottom w:val="none" w:sz="0" w:space="0" w:color="auto"/>
            <w:right w:val="none" w:sz="0" w:space="0" w:color="auto"/>
          </w:divBdr>
        </w:div>
      </w:divsChild>
    </w:div>
    <w:div w:id="1162431302">
      <w:bodyDiv w:val="1"/>
      <w:marLeft w:val="0"/>
      <w:marRight w:val="0"/>
      <w:marTop w:val="0"/>
      <w:marBottom w:val="0"/>
      <w:divBdr>
        <w:top w:val="none" w:sz="0" w:space="0" w:color="auto"/>
        <w:left w:val="none" w:sz="0" w:space="0" w:color="auto"/>
        <w:bottom w:val="none" w:sz="0" w:space="0" w:color="auto"/>
        <w:right w:val="none" w:sz="0" w:space="0" w:color="auto"/>
      </w:divBdr>
      <w:divsChild>
        <w:div w:id="972903530">
          <w:marLeft w:val="0"/>
          <w:marRight w:val="0"/>
          <w:marTop w:val="0"/>
          <w:marBottom w:val="0"/>
          <w:divBdr>
            <w:top w:val="none" w:sz="0" w:space="0" w:color="auto"/>
            <w:left w:val="none" w:sz="0" w:space="0" w:color="auto"/>
            <w:bottom w:val="none" w:sz="0" w:space="0" w:color="auto"/>
            <w:right w:val="none" w:sz="0" w:space="0" w:color="auto"/>
          </w:divBdr>
        </w:div>
        <w:div w:id="2013097746">
          <w:marLeft w:val="0"/>
          <w:marRight w:val="0"/>
          <w:marTop w:val="0"/>
          <w:marBottom w:val="0"/>
          <w:divBdr>
            <w:top w:val="none" w:sz="0" w:space="0" w:color="auto"/>
            <w:left w:val="none" w:sz="0" w:space="0" w:color="auto"/>
            <w:bottom w:val="none" w:sz="0" w:space="0" w:color="auto"/>
            <w:right w:val="none" w:sz="0" w:space="0" w:color="auto"/>
          </w:divBdr>
        </w:div>
        <w:div w:id="502936054">
          <w:marLeft w:val="0"/>
          <w:marRight w:val="0"/>
          <w:marTop w:val="0"/>
          <w:marBottom w:val="0"/>
          <w:divBdr>
            <w:top w:val="none" w:sz="0" w:space="0" w:color="auto"/>
            <w:left w:val="none" w:sz="0" w:space="0" w:color="auto"/>
            <w:bottom w:val="none" w:sz="0" w:space="0" w:color="auto"/>
            <w:right w:val="none" w:sz="0" w:space="0" w:color="auto"/>
          </w:divBdr>
        </w:div>
        <w:div w:id="1013529729">
          <w:marLeft w:val="0"/>
          <w:marRight w:val="0"/>
          <w:marTop w:val="0"/>
          <w:marBottom w:val="0"/>
          <w:divBdr>
            <w:top w:val="none" w:sz="0" w:space="0" w:color="auto"/>
            <w:left w:val="none" w:sz="0" w:space="0" w:color="auto"/>
            <w:bottom w:val="none" w:sz="0" w:space="0" w:color="auto"/>
            <w:right w:val="none" w:sz="0" w:space="0" w:color="auto"/>
          </w:divBdr>
        </w:div>
      </w:divsChild>
    </w:div>
    <w:div w:id="1164056041">
      <w:bodyDiv w:val="1"/>
      <w:marLeft w:val="0"/>
      <w:marRight w:val="0"/>
      <w:marTop w:val="0"/>
      <w:marBottom w:val="0"/>
      <w:divBdr>
        <w:top w:val="none" w:sz="0" w:space="0" w:color="auto"/>
        <w:left w:val="none" w:sz="0" w:space="0" w:color="auto"/>
        <w:bottom w:val="none" w:sz="0" w:space="0" w:color="auto"/>
        <w:right w:val="none" w:sz="0" w:space="0" w:color="auto"/>
      </w:divBdr>
      <w:divsChild>
        <w:div w:id="1027099123">
          <w:marLeft w:val="0"/>
          <w:marRight w:val="0"/>
          <w:marTop w:val="0"/>
          <w:marBottom w:val="0"/>
          <w:divBdr>
            <w:top w:val="none" w:sz="0" w:space="0" w:color="auto"/>
            <w:left w:val="none" w:sz="0" w:space="0" w:color="auto"/>
            <w:bottom w:val="none" w:sz="0" w:space="0" w:color="auto"/>
            <w:right w:val="none" w:sz="0" w:space="0" w:color="auto"/>
          </w:divBdr>
        </w:div>
        <w:div w:id="200292157">
          <w:marLeft w:val="0"/>
          <w:marRight w:val="0"/>
          <w:marTop w:val="0"/>
          <w:marBottom w:val="0"/>
          <w:divBdr>
            <w:top w:val="none" w:sz="0" w:space="0" w:color="auto"/>
            <w:left w:val="none" w:sz="0" w:space="0" w:color="auto"/>
            <w:bottom w:val="none" w:sz="0" w:space="0" w:color="auto"/>
            <w:right w:val="none" w:sz="0" w:space="0" w:color="auto"/>
          </w:divBdr>
        </w:div>
        <w:div w:id="1084767104">
          <w:marLeft w:val="0"/>
          <w:marRight w:val="0"/>
          <w:marTop w:val="0"/>
          <w:marBottom w:val="0"/>
          <w:divBdr>
            <w:top w:val="none" w:sz="0" w:space="0" w:color="auto"/>
            <w:left w:val="none" w:sz="0" w:space="0" w:color="auto"/>
            <w:bottom w:val="none" w:sz="0" w:space="0" w:color="auto"/>
            <w:right w:val="none" w:sz="0" w:space="0" w:color="auto"/>
          </w:divBdr>
        </w:div>
        <w:div w:id="647780563">
          <w:marLeft w:val="0"/>
          <w:marRight w:val="0"/>
          <w:marTop w:val="0"/>
          <w:marBottom w:val="0"/>
          <w:divBdr>
            <w:top w:val="none" w:sz="0" w:space="0" w:color="auto"/>
            <w:left w:val="none" w:sz="0" w:space="0" w:color="auto"/>
            <w:bottom w:val="none" w:sz="0" w:space="0" w:color="auto"/>
            <w:right w:val="none" w:sz="0" w:space="0" w:color="auto"/>
          </w:divBdr>
        </w:div>
        <w:div w:id="1030036485">
          <w:marLeft w:val="0"/>
          <w:marRight w:val="0"/>
          <w:marTop w:val="0"/>
          <w:marBottom w:val="0"/>
          <w:divBdr>
            <w:top w:val="none" w:sz="0" w:space="0" w:color="auto"/>
            <w:left w:val="none" w:sz="0" w:space="0" w:color="auto"/>
            <w:bottom w:val="none" w:sz="0" w:space="0" w:color="auto"/>
            <w:right w:val="none" w:sz="0" w:space="0" w:color="auto"/>
          </w:divBdr>
        </w:div>
        <w:div w:id="74595408">
          <w:marLeft w:val="0"/>
          <w:marRight w:val="0"/>
          <w:marTop w:val="0"/>
          <w:marBottom w:val="0"/>
          <w:divBdr>
            <w:top w:val="none" w:sz="0" w:space="0" w:color="auto"/>
            <w:left w:val="none" w:sz="0" w:space="0" w:color="auto"/>
            <w:bottom w:val="none" w:sz="0" w:space="0" w:color="auto"/>
            <w:right w:val="none" w:sz="0" w:space="0" w:color="auto"/>
          </w:divBdr>
        </w:div>
        <w:div w:id="1700230784">
          <w:marLeft w:val="0"/>
          <w:marRight w:val="0"/>
          <w:marTop w:val="0"/>
          <w:marBottom w:val="0"/>
          <w:divBdr>
            <w:top w:val="none" w:sz="0" w:space="0" w:color="auto"/>
            <w:left w:val="none" w:sz="0" w:space="0" w:color="auto"/>
            <w:bottom w:val="none" w:sz="0" w:space="0" w:color="auto"/>
            <w:right w:val="none" w:sz="0" w:space="0" w:color="auto"/>
          </w:divBdr>
        </w:div>
        <w:div w:id="855078418">
          <w:marLeft w:val="0"/>
          <w:marRight w:val="0"/>
          <w:marTop w:val="0"/>
          <w:marBottom w:val="0"/>
          <w:divBdr>
            <w:top w:val="none" w:sz="0" w:space="0" w:color="auto"/>
            <w:left w:val="none" w:sz="0" w:space="0" w:color="auto"/>
            <w:bottom w:val="none" w:sz="0" w:space="0" w:color="auto"/>
            <w:right w:val="none" w:sz="0" w:space="0" w:color="auto"/>
          </w:divBdr>
        </w:div>
        <w:div w:id="790443800">
          <w:marLeft w:val="0"/>
          <w:marRight w:val="0"/>
          <w:marTop w:val="0"/>
          <w:marBottom w:val="0"/>
          <w:divBdr>
            <w:top w:val="none" w:sz="0" w:space="0" w:color="auto"/>
            <w:left w:val="none" w:sz="0" w:space="0" w:color="auto"/>
            <w:bottom w:val="none" w:sz="0" w:space="0" w:color="auto"/>
            <w:right w:val="none" w:sz="0" w:space="0" w:color="auto"/>
          </w:divBdr>
        </w:div>
        <w:div w:id="918640821">
          <w:marLeft w:val="0"/>
          <w:marRight w:val="0"/>
          <w:marTop w:val="0"/>
          <w:marBottom w:val="0"/>
          <w:divBdr>
            <w:top w:val="none" w:sz="0" w:space="0" w:color="auto"/>
            <w:left w:val="none" w:sz="0" w:space="0" w:color="auto"/>
            <w:bottom w:val="none" w:sz="0" w:space="0" w:color="auto"/>
            <w:right w:val="none" w:sz="0" w:space="0" w:color="auto"/>
          </w:divBdr>
        </w:div>
      </w:divsChild>
    </w:div>
    <w:div w:id="1175417613">
      <w:bodyDiv w:val="1"/>
      <w:marLeft w:val="0"/>
      <w:marRight w:val="0"/>
      <w:marTop w:val="0"/>
      <w:marBottom w:val="0"/>
      <w:divBdr>
        <w:top w:val="none" w:sz="0" w:space="0" w:color="auto"/>
        <w:left w:val="none" w:sz="0" w:space="0" w:color="auto"/>
        <w:bottom w:val="none" w:sz="0" w:space="0" w:color="auto"/>
        <w:right w:val="none" w:sz="0" w:space="0" w:color="auto"/>
      </w:divBdr>
      <w:divsChild>
        <w:div w:id="1233346839">
          <w:marLeft w:val="0"/>
          <w:marRight w:val="0"/>
          <w:marTop w:val="0"/>
          <w:marBottom w:val="0"/>
          <w:divBdr>
            <w:top w:val="none" w:sz="0" w:space="0" w:color="auto"/>
            <w:left w:val="none" w:sz="0" w:space="0" w:color="auto"/>
            <w:bottom w:val="none" w:sz="0" w:space="0" w:color="auto"/>
            <w:right w:val="none" w:sz="0" w:space="0" w:color="auto"/>
          </w:divBdr>
        </w:div>
        <w:div w:id="1222135642">
          <w:marLeft w:val="0"/>
          <w:marRight w:val="0"/>
          <w:marTop w:val="0"/>
          <w:marBottom w:val="0"/>
          <w:divBdr>
            <w:top w:val="none" w:sz="0" w:space="0" w:color="auto"/>
            <w:left w:val="none" w:sz="0" w:space="0" w:color="auto"/>
            <w:bottom w:val="none" w:sz="0" w:space="0" w:color="auto"/>
            <w:right w:val="none" w:sz="0" w:space="0" w:color="auto"/>
          </w:divBdr>
        </w:div>
        <w:div w:id="1301610607">
          <w:marLeft w:val="0"/>
          <w:marRight w:val="0"/>
          <w:marTop w:val="0"/>
          <w:marBottom w:val="0"/>
          <w:divBdr>
            <w:top w:val="none" w:sz="0" w:space="0" w:color="auto"/>
            <w:left w:val="none" w:sz="0" w:space="0" w:color="auto"/>
            <w:bottom w:val="none" w:sz="0" w:space="0" w:color="auto"/>
            <w:right w:val="none" w:sz="0" w:space="0" w:color="auto"/>
          </w:divBdr>
        </w:div>
        <w:div w:id="594677935">
          <w:marLeft w:val="0"/>
          <w:marRight w:val="0"/>
          <w:marTop w:val="0"/>
          <w:marBottom w:val="0"/>
          <w:divBdr>
            <w:top w:val="none" w:sz="0" w:space="0" w:color="auto"/>
            <w:left w:val="none" w:sz="0" w:space="0" w:color="auto"/>
            <w:bottom w:val="none" w:sz="0" w:space="0" w:color="auto"/>
            <w:right w:val="none" w:sz="0" w:space="0" w:color="auto"/>
          </w:divBdr>
        </w:div>
        <w:div w:id="318654579">
          <w:marLeft w:val="0"/>
          <w:marRight w:val="0"/>
          <w:marTop w:val="0"/>
          <w:marBottom w:val="0"/>
          <w:divBdr>
            <w:top w:val="none" w:sz="0" w:space="0" w:color="auto"/>
            <w:left w:val="none" w:sz="0" w:space="0" w:color="auto"/>
            <w:bottom w:val="none" w:sz="0" w:space="0" w:color="auto"/>
            <w:right w:val="none" w:sz="0" w:space="0" w:color="auto"/>
          </w:divBdr>
        </w:div>
        <w:div w:id="1859272679">
          <w:marLeft w:val="0"/>
          <w:marRight w:val="0"/>
          <w:marTop w:val="0"/>
          <w:marBottom w:val="0"/>
          <w:divBdr>
            <w:top w:val="none" w:sz="0" w:space="0" w:color="auto"/>
            <w:left w:val="none" w:sz="0" w:space="0" w:color="auto"/>
            <w:bottom w:val="none" w:sz="0" w:space="0" w:color="auto"/>
            <w:right w:val="none" w:sz="0" w:space="0" w:color="auto"/>
          </w:divBdr>
        </w:div>
        <w:div w:id="613485617">
          <w:marLeft w:val="0"/>
          <w:marRight w:val="0"/>
          <w:marTop w:val="0"/>
          <w:marBottom w:val="0"/>
          <w:divBdr>
            <w:top w:val="none" w:sz="0" w:space="0" w:color="auto"/>
            <w:left w:val="none" w:sz="0" w:space="0" w:color="auto"/>
            <w:bottom w:val="none" w:sz="0" w:space="0" w:color="auto"/>
            <w:right w:val="none" w:sz="0" w:space="0" w:color="auto"/>
          </w:divBdr>
        </w:div>
        <w:div w:id="1095440252">
          <w:marLeft w:val="0"/>
          <w:marRight w:val="0"/>
          <w:marTop w:val="0"/>
          <w:marBottom w:val="0"/>
          <w:divBdr>
            <w:top w:val="none" w:sz="0" w:space="0" w:color="auto"/>
            <w:left w:val="none" w:sz="0" w:space="0" w:color="auto"/>
            <w:bottom w:val="none" w:sz="0" w:space="0" w:color="auto"/>
            <w:right w:val="none" w:sz="0" w:space="0" w:color="auto"/>
          </w:divBdr>
        </w:div>
        <w:div w:id="1853907116">
          <w:marLeft w:val="0"/>
          <w:marRight w:val="0"/>
          <w:marTop w:val="0"/>
          <w:marBottom w:val="0"/>
          <w:divBdr>
            <w:top w:val="none" w:sz="0" w:space="0" w:color="auto"/>
            <w:left w:val="none" w:sz="0" w:space="0" w:color="auto"/>
            <w:bottom w:val="none" w:sz="0" w:space="0" w:color="auto"/>
            <w:right w:val="none" w:sz="0" w:space="0" w:color="auto"/>
          </w:divBdr>
        </w:div>
        <w:div w:id="1185946256">
          <w:marLeft w:val="0"/>
          <w:marRight w:val="0"/>
          <w:marTop w:val="0"/>
          <w:marBottom w:val="0"/>
          <w:divBdr>
            <w:top w:val="none" w:sz="0" w:space="0" w:color="auto"/>
            <w:left w:val="none" w:sz="0" w:space="0" w:color="auto"/>
            <w:bottom w:val="none" w:sz="0" w:space="0" w:color="auto"/>
            <w:right w:val="none" w:sz="0" w:space="0" w:color="auto"/>
          </w:divBdr>
        </w:div>
        <w:div w:id="105852191">
          <w:marLeft w:val="0"/>
          <w:marRight w:val="0"/>
          <w:marTop w:val="0"/>
          <w:marBottom w:val="0"/>
          <w:divBdr>
            <w:top w:val="none" w:sz="0" w:space="0" w:color="auto"/>
            <w:left w:val="none" w:sz="0" w:space="0" w:color="auto"/>
            <w:bottom w:val="none" w:sz="0" w:space="0" w:color="auto"/>
            <w:right w:val="none" w:sz="0" w:space="0" w:color="auto"/>
          </w:divBdr>
        </w:div>
        <w:div w:id="106044628">
          <w:marLeft w:val="0"/>
          <w:marRight w:val="0"/>
          <w:marTop w:val="0"/>
          <w:marBottom w:val="0"/>
          <w:divBdr>
            <w:top w:val="none" w:sz="0" w:space="0" w:color="auto"/>
            <w:left w:val="none" w:sz="0" w:space="0" w:color="auto"/>
            <w:bottom w:val="none" w:sz="0" w:space="0" w:color="auto"/>
            <w:right w:val="none" w:sz="0" w:space="0" w:color="auto"/>
          </w:divBdr>
        </w:div>
        <w:div w:id="171997369">
          <w:marLeft w:val="0"/>
          <w:marRight w:val="0"/>
          <w:marTop w:val="0"/>
          <w:marBottom w:val="0"/>
          <w:divBdr>
            <w:top w:val="none" w:sz="0" w:space="0" w:color="auto"/>
            <w:left w:val="none" w:sz="0" w:space="0" w:color="auto"/>
            <w:bottom w:val="none" w:sz="0" w:space="0" w:color="auto"/>
            <w:right w:val="none" w:sz="0" w:space="0" w:color="auto"/>
          </w:divBdr>
        </w:div>
        <w:div w:id="2017029745">
          <w:marLeft w:val="0"/>
          <w:marRight w:val="0"/>
          <w:marTop w:val="0"/>
          <w:marBottom w:val="0"/>
          <w:divBdr>
            <w:top w:val="none" w:sz="0" w:space="0" w:color="auto"/>
            <w:left w:val="none" w:sz="0" w:space="0" w:color="auto"/>
            <w:bottom w:val="none" w:sz="0" w:space="0" w:color="auto"/>
            <w:right w:val="none" w:sz="0" w:space="0" w:color="auto"/>
          </w:divBdr>
        </w:div>
        <w:div w:id="129902171">
          <w:marLeft w:val="0"/>
          <w:marRight w:val="0"/>
          <w:marTop w:val="0"/>
          <w:marBottom w:val="0"/>
          <w:divBdr>
            <w:top w:val="none" w:sz="0" w:space="0" w:color="auto"/>
            <w:left w:val="none" w:sz="0" w:space="0" w:color="auto"/>
            <w:bottom w:val="none" w:sz="0" w:space="0" w:color="auto"/>
            <w:right w:val="none" w:sz="0" w:space="0" w:color="auto"/>
          </w:divBdr>
        </w:div>
        <w:div w:id="35012623">
          <w:marLeft w:val="0"/>
          <w:marRight w:val="0"/>
          <w:marTop w:val="0"/>
          <w:marBottom w:val="0"/>
          <w:divBdr>
            <w:top w:val="none" w:sz="0" w:space="0" w:color="auto"/>
            <w:left w:val="none" w:sz="0" w:space="0" w:color="auto"/>
            <w:bottom w:val="none" w:sz="0" w:space="0" w:color="auto"/>
            <w:right w:val="none" w:sz="0" w:space="0" w:color="auto"/>
          </w:divBdr>
        </w:div>
        <w:div w:id="281421372">
          <w:marLeft w:val="0"/>
          <w:marRight w:val="0"/>
          <w:marTop w:val="0"/>
          <w:marBottom w:val="0"/>
          <w:divBdr>
            <w:top w:val="none" w:sz="0" w:space="0" w:color="auto"/>
            <w:left w:val="none" w:sz="0" w:space="0" w:color="auto"/>
            <w:bottom w:val="none" w:sz="0" w:space="0" w:color="auto"/>
            <w:right w:val="none" w:sz="0" w:space="0" w:color="auto"/>
          </w:divBdr>
        </w:div>
        <w:div w:id="1802534151">
          <w:marLeft w:val="0"/>
          <w:marRight w:val="0"/>
          <w:marTop w:val="0"/>
          <w:marBottom w:val="0"/>
          <w:divBdr>
            <w:top w:val="none" w:sz="0" w:space="0" w:color="auto"/>
            <w:left w:val="none" w:sz="0" w:space="0" w:color="auto"/>
            <w:bottom w:val="none" w:sz="0" w:space="0" w:color="auto"/>
            <w:right w:val="none" w:sz="0" w:space="0" w:color="auto"/>
          </w:divBdr>
        </w:div>
        <w:div w:id="404455265">
          <w:marLeft w:val="0"/>
          <w:marRight w:val="0"/>
          <w:marTop w:val="0"/>
          <w:marBottom w:val="0"/>
          <w:divBdr>
            <w:top w:val="none" w:sz="0" w:space="0" w:color="auto"/>
            <w:left w:val="none" w:sz="0" w:space="0" w:color="auto"/>
            <w:bottom w:val="none" w:sz="0" w:space="0" w:color="auto"/>
            <w:right w:val="none" w:sz="0" w:space="0" w:color="auto"/>
          </w:divBdr>
        </w:div>
        <w:div w:id="1235315354">
          <w:marLeft w:val="0"/>
          <w:marRight w:val="0"/>
          <w:marTop w:val="0"/>
          <w:marBottom w:val="0"/>
          <w:divBdr>
            <w:top w:val="none" w:sz="0" w:space="0" w:color="auto"/>
            <w:left w:val="none" w:sz="0" w:space="0" w:color="auto"/>
            <w:bottom w:val="none" w:sz="0" w:space="0" w:color="auto"/>
            <w:right w:val="none" w:sz="0" w:space="0" w:color="auto"/>
          </w:divBdr>
        </w:div>
        <w:div w:id="805782343">
          <w:marLeft w:val="0"/>
          <w:marRight w:val="0"/>
          <w:marTop w:val="0"/>
          <w:marBottom w:val="0"/>
          <w:divBdr>
            <w:top w:val="none" w:sz="0" w:space="0" w:color="auto"/>
            <w:left w:val="none" w:sz="0" w:space="0" w:color="auto"/>
            <w:bottom w:val="none" w:sz="0" w:space="0" w:color="auto"/>
            <w:right w:val="none" w:sz="0" w:space="0" w:color="auto"/>
          </w:divBdr>
        </w:div>
        <w:div w:id="571936258">
          <w:marLeft w:val="0"/>
          <w:marRight w:val="0"/>
          <w:marTop w:val="0"/>
          <w:marBottom w:val="0"/>
          <w:divBdr>
            <w:top w:val="none" w:sz="0" w:space="0" w:color="auto"/>
            <w:left w:val="none" w:sz="0" w:space="0" w:color="auto"/>
            <w:bottom w:val="none" w:sz="0" w:space="0" w:color="auto"/>
            <w:right w:val="none" w:sz="0" w:space="0" w:color="auto"/>
          </w:divBdr>
        </w:div>
        <w:div w:id="1631279646">
          <w:marLeft w:val="0"/>
          <w:marRight w:val="0"/>
          <w:marTop w:val="0"/>
          <w:marBottom w:val="0"/>
          <w:divBdr>
            <w:top w:val="none" w:sz="0" w:space="0" w:color="auto"/>
            <w:left w:val="none" w:sz="0" w:space="0" w:color="auto"/>
            <w:bottom w:val="none" w:sz="0" w:space="0" w:color="auto"/>
            <w:right w:val="none" w:sz="0" w:space="0" w:color="auto"/>
          </w:divBdr>
        </w:div>
        <w:div w:id="1527409096">
          <w:marLeft w:val="0"/>
          <w:marRight w:val="0"/>
          <w:marTop w:val="0"/>
          <w:marBottom w:val="0"/>
          <w:divBdr>
            <w:top w:val="none" w:sz="0" w:space="0" w:color="auto"/>
            <w:left w:val="none" w:sz="0" w:space="0" w:color="auto"/>
            <w:bottom w:val="none" w:sz="0" w:space="0" w:color="auto"/>
            <w:right w:val="none" w:sz="0" w:space="0" w:color="auto"/>
          </w:divBdr>
        </w:div>
        <w:div w:id="1005548107">
          <w:marLeft w:val="0"/>
          <w:marRight w:val="0"/>
          <w:marTop w:val="0"/>
          <w:marBottom w:val="0"/>
          <w:divBdr>
            <w:top w:val="none" w:sz="0" w:space="0" w:color="auto"/>
            <w:left w:val="none" w:sz="0" w:space="0" w:color="auto"/>
            <w:bottom w:val="none" w:sz="0" w:space="0" w:color="auto"/>
            <w:right w:val="none" w:sz="0" w:space="0" w:color="auto"/>
          </w:divBdr>
        </w:div>
        <w:div w:id="1441799901">
          <w:marLeft w:val="0"/>
          <w:marRight w:val="0"/>
          <w:marTop w:val="0"/>
          <w:marBottom w:val="0"/>
          <w:divBdr>
            <w:top w:val="none" w:sz="0" w:space="0" w:color="auto"/>
            <w:left w:val="none" w:sz="0" w:space="0" w:color="auto"/>
            <w:bottom w:val="none" w:sz="0" w:space="0" w:color="auto"/>
            <w:right w:val="none" w:sz="0" w:space="0" w:color="auto"/>
          </w:divBdr>
        </w:div>
        <w:div w:id="345984222">
          <w:marLeft w:val="0"/>
          <w:marRight w:val="0"/>
          <w:marTop w:val="0"/>
          <w:marBottom w:val="0"/>
          <w:divBdr>
            <w:top w:val="none" w:sz="0" w:space="0" w:color="auto"/>
            <w:left w:val="none" w:sz="0" w:space="0" w:color="auto"/>
            <w:bottom w:val="none" w:sz="0" w:space="0" w:color="auto"/>
            <w:right w:val="none" w:sz="0" w:space="0" w:color="auto"/>
          </w:divBdr>
        </w:div>
        <w:div w:id="2056466160">
          <w:marLeft w:val="0"/>
          <w:marRight w:val="0"/>
          <w:marTop w:val="0"/>
          <w:marBottom w:val="0"/>
          <w:divBdr>
            <w:top w:val="none" w:sz="0" w:space="0" w:color="auto"/>
            <w:left w:val="none" w:sz="0" w:space="0" w:color="auto"/>
            <w:bottom w:val="none" w:sz="0" w:space="0" w:color="auto"/>
            <w:right w:val="none" w:sz="0" w:space="0" w:color="auto"/>
          </w:divBdr>
        </w:div>
      </w:divsChild>
    </w:div>
    <w:div w:id="1319530352">
      <w:bodyDiv w:val="1"/>
      <w:marLeft w:val="0"/>
      <w:marRight w:val="0"/>
      <w:marTop w:val="0"/>
      <w:marBottom w:val="0"/>
      <w:divBdr>
        <w:top w:val="none" w:sz="0" w:space="0" w:color="auto"/>
        <w:left w:val="none" w:sz="0" w:space="0" w:color="auto"/>
        <w:bottom w:val="none" w:sz="0" w:space="0" w:color="auto"/>
        <w:right w:val="none" w:sz="0" w:space="0" w:color="auto"/>
      </w:divBdr>
      <w:divsChild>
        <w:div w:id="509635907">
          <w:marLeft w:val="0"/>
          <w:marRight w:val="0"/>
          <w:marTop w:val="0"/>
          <w:marBottom w:val="0"/>
          <w:divBdr>
            <w:top w:val="none" w:sz="0" w:space="0" w:color="auto"/>
            <w:left w:val="none" w:sz="0" w:space="0" w:color="auto"/>
            <w:bottom w:val="none" w:sz="0" w:space="0" w:color="auto"/>
            <w:right w:val="none" w:sz="0" w:space="0" w:color="auto"/>
          </w:divBdr>
        </w:div>
        <w:div w:id="1387415849">
          <w:marLeft w:val="0"/>
          <w:marRight w:val="0"/>
          <w:marTop w:val="0"/>
          <w:marBottom w:val="0"/>
          <w:divBdr>
            <w:top w:val="none" w:sz="0" w:space="0" w:color="auto"/>
            <w:left w:val="none" w:sz="0" w:space="0" w:color="auto"/>
            <w:bottom w:val="none" w:sz="0" w:space="0" w:color="auto"/>
            <w:right w:val="none" w:sz="0" w:space="0" w:color="auto"/>
          </w:divBdr>
        </w:div>
        <w:div w:id="1410814169">
          <w:marLeft w:val="0"/>
          <w:marRight w:val="0"/>
          <w:marTop w:val="0"/>
          <w:marBottom w:val="0"/>
          <w:divBdr>
            <w:top w:val="none" w:sz="0" w:space="0" w:color="auto"/>
            <w:left w:val="none" w:sz="0" w:space="0" w:color="auto"/>
            <w:bottom w:val="none" w:sz="0" w:space="0" w:color="auto"/>
            <w:right w:val="none" w:sz="0" w:space="0" w:color="auto"/>
          </w:divBdr>
        </w:div>
        <w:div w:id="931857062">
          <w:marLeft w:val="0"/>
          <w:marRight w:val="0"/>
          <w:marTop w:val="0"/>
          <w:marBottom w:val="0"/>
          <w:divBdr>
            <w:top w:val="none" w:sz="0" w:space="0" w:color="auto"/>
            <w:left w:val="none" w:sz="0" w:space="0" w:color="auto"/>
            <w:bottom w:val="none" w:sz="0" w:space="0" w:color="auto"/>
            <w:right w:val="none" w:sz="0" w:space="0" w:color="auto"/>
          </w:divBdr>
        </w:div>
        <w:div w:id="719282857">
          <w:marLeft w:val="0"/>
          <w:marRight w:val="0"/>
          <w:marTop w:val="0"/>
          <w:marBottom w:val="0"/>
          <w:divBdr>
            <w:top w:val="none" w:sz="0" w:space="0" w:color="auto"/>
            <w:left w:val="none" w:sz="0" w:space="0" w:color="auto"/>
            <w:bottom w:val="none" w:sz="0" w:space="0" w:color="auto"/>
            <w:right w:val="none" w:sz="0" w:space="0" w:color="auto"/>
          </w:divBdr>
        </w:div>
        <w:div w:id="535897484">
          <w:marLeft w:val="0"/>
          <w:marRight w:val="0"/>
          <w:marTop w:val="0"/>
          <w:marBottom w:val="0"/>
          <w:divBdr>
            <w:top w:val="none" w:sz="0" w:space="0" w:color="auto"/>
            <w:left w:val="none" w:sz="0" w:space="0" w:color="auto"/>
            <w:bottom w:val="none" w:sz="0" w:space="0" w:color="auto"/>
            <w:right w:val="none" w:sz="0" w:space="0" w:color="auto"/>
          </w:divBdr>
        </w:div>
        <w:div w:id="28341295">
          <w:marLeft w:val="0"/>
          <w:marRight w:val="0"/>
          <w:marTop w:val="0"/>
          <w:marBottom w:val="0"/>
          <w:divBdr>
            <w:top w:val="none" w:sz="0" w:space="0" w:color="auto"/>
            <w:left w:val="none" w:sz="0" w:space="0" w:color="auto"/>
            <w:bottom w:val="none" w:sz="0" w:space="0" w:color="auto"/>
            <w:right w:val="none" w:sz="0" w:space="0" w:color="auto"/>
          </w:divBdr>
        </w:div>
        <w:div w:id="1726221277">
          <w:marLeft w:val="0"/>
          <w:marRight w:val="0"/>
          <w:marTop w:val="0"/>
          <w:marBottom w:val="0"/>
          <w:divBdr>
            <w:top w:val="none" w:sz="0" w:space="0" w:color="auto"/>
            <w:left w:val="none" w:sz="0" w:space="0" w:color="auto"/>
            <w:bottom w:val="none" w:sz="0" w:space="0" w:color="auto"/>
            <w:right w:val="none" w:sz="0" w:space="0" w:color="auto"/>
          </w:divBdr>
        </w:div>
        <w:div w:id="594090808">
          <w:marLeft w:val="0"/>
          <w:marRight w:val="0"/>
          <w:marTop w:val="0"/>
          <w:marBottom w:val="0"/>
          <w:divBdr>
            <w:top w:val="none" w:sz="0" w:space="0" w:color="auto"/>
            <w:left w:val="none" w:sz="0" w:space="0" w:color="auto"/>
            <w:bottom w:val="none" w:sz="0" w:space="0" w:color="auto"/>
            <w:right w:val="none" w:sz="0" w:space="0" w:color="auto"/>
          </w:divBdr>
        </w:div>
        <w:div w:id="1031304595">
          <w:marLeft w:val="0"/>
          <w:marRight w:val="0"/>
          <w:marTop w:val="0"/>
          <w:marBottom w:val="0"/>
          <w:divBdr>
            <w:top w:val="none" w:sz="0" w:space="0" w:color="auto"/>
            <w:left w:val="none" w:sz="0" w:space="0" w:color="auto"/>
            <w:bottom w:val="none" w:sz="0" w:space="0" w:color="auto"/>
            <w:right w:val="none" w:sz="0" w:space="0" w:color="auto"/>
          </w:divBdr>
        </w:div>
        <w:div w:id="626470911">
          <w:marLeft w:val="0"/>
          <w:marRight w:val="0"/>
          <w:marTop w:val="0"/>
          <w:marBottom w:val="0"/>
          <w:divBdr>
            <w:top w:val="none" w:sz="0" w:space="0" w:color="auto"/>
            <w:left w:val="none" w:sz="0" w:space="0" w:color="auto"/>
            <w:bottom w:val="none" w:sz="0" w:space="0" w:color="auto"/>
            <w:right w:val="none" w:sz="0" w:space="0" w:color="auto"/>
          </w:divBdr>
        </w:div>
        <w:div w:id="1462110185">
          <w:marLeft w:val="0"/>
          <w:marRight w:val="0"/>
          <w:marTop w:val="0"/>
          <w:marBottom w:val="0"/>
          <w:divBdr>
            <w:top w:val="none" w:sz="0" w:space="0" w:color="auto"/>
            <w:left w:val="none" w:sz="0" w:space="0" w:color="auto"/>
            <w:bottom w:val="none" w:sz="0" w:space="0" w:color="auto"/>
            <w:right w:val="none" w:sz="0" w:space="0" w:color="auto"/>
          </w:divBdr>
        </w:div>
        <w:div w:id="1845436579">
          <w:marLeft w:val="0"/>
          <w:marRight w:val="0"/>
          <w:marTop w:val="0"/>
          <w:marBottom w:val="0"/>
          <w:divBdr>
            <w:top w:val="none" w:sz="0" w:space="0" w:color="auto"/>
            <w:left w:val="none" w:sz="0" w:space="0" w:color="auto"/>
            <w:bottom w:val="none" w:sz="0" w:space="0" w:color="auto"/>
            <w:right w:val="none" w:sz="0" w:space="0" w:color="auto"/>
          </w:divBdr>
        </w:div>
        <w:div w:id="403340727">
          <w:marLeft w:val="0"/>
          <w:marRight w:val="0"/>
          <w:marTop w:val="0"/>
          <w:marBottom w:val="0"/>
          <w:divBdr>
            <w:top w:val="none" w:sz="0" w:space="0" w:color="auto"/>
            <w:left w:val="none" w:sz="0" w:space="0" w:color="auto"/>
            <w:bottom w:val="none" w:sz="0" w:space="0" w:color="auto"/>
            <w:right w:val="none" w:sz="0" w:space="0" w:color="auto"/>
          </w:divBdr>
        </w:div>
        <w:div w:id="37365702">
          <w:marLeft w:val="0"/>
          <w:marRight w:val="0"/>
          <w:marTop w:val="0"/>
          <w:marBottom w:val="0"/>
          <w:divBdr>
            <w:top w:val="none" w:sz="0" w:space="0" w:color="auto"/>
            <w:left w:val="none" w:sz="0" w:space="0" w:color="auto"/>
            <w:bottom w:val="none" w:sz="0" w:space="0" w:color="auto"/>
            <w:right w:val="none" w:sz="0" w:space="0" w:color="auto"/>
          </w:divBdr>
        </w:div>
        <w:div w:id="1970355030">
          <w:marLeft w:val="0"/>
          <w:marRight w:val="0"/>
          <w:marTop w:val="0"/>
          <w:marBottom w:val="0"/>
          <w:divBdr>
            <w:top w:val="none" w:sz="0" w:space="0" w:color="auto"/>
            <w:left w:val="none" w:sz="0" w:space="0" w:color="auto"/>
            <w:bottom w:val="none" w:sz="0" w:space="0" w:color="auto"/>
            <w:right w:val="none" w:sz="0" w:space="0" w:color="auto"/>
          </w:divBdr>
        </w:div>
        <w:div w:id="1946690958">
          <w:marLeft w:val="0"/>
          <w:marRight w:val="0"/>
          <w:marTop w:val="0"/>
          <w:marBottom w:val="0"/>
          <w:divBdr>
            <w:top w:val="none" w:sz="0" w:space="0" w:color="auto"/>
            <w:left w:val="none" w:sz="0" w:space="0" w:color="auto"/>
            <w:bottom w:val="none" w:sz="0" w:space="0" w:color="auto"/>
            <w:right w:val="none" w:sz="0" w:space="0" w:color="auto"/>
          </w:divBdr>
        </w:div>
        <w:div w:id="1048917595">
          <w:marLeft w:val="0"/>
          <w:marRight w:val="0"/>
          <w:marTop w:val="0"/>
          <w:marBottom w:val="0"/>
          <w:divBdr>
            <w:top w:val="none" w:sz="0" w:space="0" w:color="auto"/>
            <w:left w:val="none" w:sz="0" w:space="0" w:color="auto"/>
            <w:bottom w:val="none" w:sz="0" w:space="0" w:color="auto"/>
            <w:right w:val="none" w:sz="0" w:space="0" w:color="auto"/>
          </w:divBdr>
        </w:div>
        <w:div w:id="1281105579">
          <w:marLeft w:val="0"/>
          <w:marRight w:val="0"/>
          <w:marTop w:val="0"/>
          <w:marBottom w:val="0"/>
          <w:divBdr>
            <w:top w:val="none" w:sz="0" w:space="0" w:color="auto"/>
            <w:left w:val="none" w:sz="0" w:space="0" w:color="auto"/>
            <w:bottom w:val="none" w:sz="0" w:space="0" w:color="auto"/>
            <w:right w:val="none" w:sz="0" w:space="0" w:color="auto"/>
          </w:divBdr>
        </w:div>
        <w:div w:id="696466252">
          <w:marLeft w:val="0"/>
          <w:marRight w:val="0"/>
          <w:marTop w:val="0"/>
          <w:marBottom w:val="0"/>
          <w:divBdr>
            <w:top w:val="none" w:sz="0" w:space="0" w:color="auto"/>
            <w:left w:val="none" w:sz="0" w:space="0" w:color="auto"/>
            <w:bottom w:val="none" w:sz="0" w:space="0" w:color="auto"/>
            <w:right w:val="none" w:sz="0" w:space="0" w:color="auto"/>
          </w:divBdr>
        </w:div>
        <w:div w:id="1813060532">
          <w:marLeft w:val="0"/>
          <w:marRight w:val="0"/>
          <w:marTop w:val="0"/>
          <w:marBottom w:val="0"/>
          <w:divBdr>
            <w:top w:val="none" w:sz="0" w:space="0" w:color="auto"/>
            <w:left w:val="none" w:sz="0" w:space="0" w:color="auto"/>
            <w:bottom w:val="none" w:sz="0" w:space="0" w:color="auto"/>
            <w:right w:val="none" w:sz="0" w:space="0" w:color="auto"/>
          </w:divBdr>
        </w:div>
        <w:div w:id="1364593758">
          <w:marLeft w:val="0"/>
          <w:marRight w:val="0"/>
          <w:marTop w:val="0"/>
          <w:marBottom w:val="0"/>
          <w:divBdr>
            <w:top w:val="none" w:sz="0" w:space="0" w:color="auto"/>
            <w:left w:val="none" w:sz="0" w:space="0" w:color="auto"/>
            <w:bottom w:val="none" w:sz="0" w:space="0" w:color="auto"/>
            <w:right w:val="none" w:sz="0" w:space="0" w:color="auto"/>
          </w:divBdr>
        </w:div>
        <w:div w:id="1798143013">
          <w:marLeft w:val="0"/>
          <w:marRight w:val="0"/>
          <w:marTop w:val="0"/>
          <w:marBottom w:val="0"/>
          <w:divBdr>
            <w:top w:val="none" w:sz="0" w:space="0" w:color="auto"/>
            <w:left w:val="none" w:sz="0" w:space="0" w:color="auto"/>
            <w:bottom w:val="none" w:sz="0" w:space="0" w:color="auto"/>
            <w:right w:val="none" w:sz="0" w:space="0" w:color="auto"/>
          </w:divBdr>
        </w:div>
      </w:divsChild>
    </w:div>
    <w:div w:id="1706558075">
      <w:bodyDiv w:val="1"/>
      <w:marLeft w:val="0"/>
      <w:marRight w:val="0"/>
      <w:marTop w:val="0"/>
      <w:marBottom w:val="0"/>
      <w:divBdr>
        <w:top w:val="none" w:sz="0" w:space="0" w:color="auto"/>
        <w:left w:val="none" w:sz="0" w:space="0" w:color="auto"/>
        <w:bottom w:val="none" w:sz="0" w:space="0" w:color="auto"/>
        <w:right w:val="none" w:sz="0" w:space="0" w:color="auto"/>
      </w:divBdr>
      <w:divsChild>
        <w:div w:id="379673653">
          <w:marLeft w:val="0"/>
          <w:marRight w:val="0"/>
          <w:marTop w:val="0"/>
          <w:marBottom w:val="0"/>
          <w:divBdr>
            <w:top w:val="none" w:sz="0" w:space="0" w:color="auto"/>
            <w:left w:val="none" w:sz="0" w:space="0" w:color="auto"/>
            <w:bottom w:val="none" w:sz="0" w:space="0" w:color="auto"/>
            <w:right w:val="none" w:sz="0" w:space="0" w:color="auto"/>
          </w:divBdr>
        </w:div>
        <w:div w:id="2119979289">
          <w:marLeft w:val="0"/>
          <w:marRight w:val="0"/>
          <w:marTop w:val="0"/>
          <w:marBottom w:val="0"/>
          <w:divBdr>
            <w:top w:val="none" w:sz="0" w:space="0" w:color="auto"/>
            <w:left w:val="none" w:sz="0" w:space="0" w:color="auto"/>
            <w:bottom w:val="none" w:sz="0" w:space="0" w:color="auto"/>
            <w:right w:val="none" w:sz="0" w:space="0" w:color="auto"/>
          </w:divBdr>
        </w:div>
        <w:div w:id="1568110168">
          <w:marLeft w:val="0"/>
          <w:marRight w:val="0"/>
          <w:marTop w:val="0"/>
          <w:marBottom w:val="0"/>
          <w:divBdr>
            <w:top w:val="none" w:sz="0" w:space="0" w:color="auto"/>
            <w:left w:val="none" w:sz="0" w:space="0" w:color="auto"/>
            <w:bottom w:val="none" w:sz="0" w:space="0" w:color="auto"/>
            <w:right w:val="none" w:sz="0" w:space="0" w:color="auto"/>
          </w:divBdr>
        </w:div>
        <w:div w:id="1235362020">
          <w:marLeft w:val="0"/>
          <w:marRight w:val="0"/>
          <w:marTop w:val="0"/>
          <w:marBottom w:val="0"/>
          <w:divBdr>
            <w:top w:val="none" w:sz="0" w:space="0" w:color="auto"/>
            <w:left w:val="none" w:sz="0" w:space="0" w:color="auto"/>
            <w:bottom w:val="none" w:sz="0" w:space="0" w:color="auto"/>
            <w:right w:val="none" w:sz="0" w:space="0" w:color="auto"/>
          </w:divBdr>
        </w:div>
        <w:div w:id="1657296888">
          <w:marLeft w:val="0"/>
          <w:marRight w:val="0"/>
          <w:marTop w:val="0"/>
          <w:marBottom w:val="0"/>
          <w:divBdr>
            <w:top w:val="none" w:sz="0" w:space="0" w:color="auto"/>
            <w:left w:val="none" w:sz="0" w:space="0" w:color="auto"/>
            <w:bottom w:val="none" w:sz="0" w:space="0" w:color="auto"/>
            <w:right w:val="none" w:sz="0" w:space="0" w:color="auto"/>
          </w:divBdr>
        </w:div>
        <w:div w:id="1484809367">
          <w:marLeft w:val="0"/>
          <w:marRight w:val="0"/>
          <w:marTop w:val="0"/>
          <w:marBottom w:val="0"/>
          <w:divBdr>
            <w:top w:val="none" w:sz="0" w:space="0" w:color="auto"/>
            <w:left w:val="none" w:sz="0" w:space="0" w:color="auto"/>
            <w:bottom w:val="none" w:sz="0" w:space="0" w:color="auto"/>
            <w:right w:val="none" w:sz="0" w:space="0" w:color="auto"/>
          </w:divBdr>
        </w:div>
        <w:div w:id="224535111">
          <w:marLeft w:val="0"/>
          <w:marRight w:val="0"/>
          <w:marTop w:val="0"/>
          <w:marBottom w:val="0"/>
          <w:divBdr>
            <w:top w:val="none" w:sz="0" w:space="0" w:color="auto"/>
            <w:left w:val="none" w:sz="0" w:space="0" w:color="auto"/>
            <w:bottom w:val="none" w:sz="0" w:space="0" w:color="auto"/>
            <w:right w:val="none" w:sz="0" w:space="0" w:color="auto"/>
          </w:divBdr>
        </w:div>
        <w:div w:id="483085065">
          <w:marLeft w:val="0"/>
          <w:marRight w:val="0"/>
          <w:marTop w:val="0"/>
          <w:marBottom w:val="0"/>
          <w:divBdr>
            <w:top w:val="none" w:sz="0" w:space="0" w:color="auto"/>
            <w:left w:val="none" w:sz="0" w:space="0" w:color="auto"/>
            <w:bottom w:val="none" w:sz="0" w:space="0" w:color="auto"/>
            <w:right w:val="none" w:sz="0" w:space="0" w:color="auto"/>
          </w:divBdr>
        </w:div>
        <w:div w:id="967860457">
          <w:marLeft w:val="0"/>
          <w:marRight w:val="0"/>
          <w:marTop w:val="0"/>
          <w:marBottom w:val="0"/>
          <w:divBdr>
            <w:top w:val="none" w:sz="0" w:space="0" w:color="auto"/>
            <w:left w:val="none" w:sz="0" w:space="0" w:color="auto"/>
            <w:bottom w:val="none" w:sz="0" w:space="0" w:color="auto"/>
            <w:right w:val="none" w:sz="0" w:space="0" w:color="auto"/>
          </w:divBdr>
        </w:div>
        <w:div w:id="1972855938">
          <w:marLeft w:val="0"/>
          <w:marRight w:val="0"/>
          <w:marTop w:val="0"/>
          <w:marBottom w:val="0"/>
          <w:divBdr>
            <w:top w:val="none" w:sz="0" w:space="0" w:color="auto"/>
            <w:left w:val="none" w:sz="0" w:space="0" w:color="auto"/>
            <w:bottom w:val="none" w:sz="0" w:space="0" w:color="auto"/>
            <w:right w:val="none" w:sz="0" w:space="0" w:color="auto"/>
          </w:divBdr>
        </w:div>
      </w:divsChild>
    </w:div>
    <w:div w:id="1709799314">
      <w:bodyDiv w:val="1"/>
      <w:marLeft w:val="0"/>
      <w:marRight w:val="0"/>
      <w:marTop w:val="0"/>
      <w:marBottom w:val="0"/>
      <w:divBdr>
        <w:top w:val="none" w:sz="0" w:space="0" w:color="auto"/>
        <w:left w:val="none" w:sz="0" w:space="0" w:color="auto"/>
        <w:bottom w:val="none" w:sz="0" w:space="0" w:color="auto"/>
        <w:right w:val="none" w:sz="0" w:space="0" w:color="auto"/>
      </w:divBdr>
      <w:divsChild>
        <w:div w:id="1305354084">
          <w:marLeft w:val="0"/>
          <w:marRight w:val="0"/>
          <w:marTop w:val="0"/>
          <w:marBottom w:val="0"/>
          <w:divBdr>
            <w:top w:val="none" w:sz="0" w:space="0" w:color="auto"/>
            <w:left w:val="none" w:sz="0" w:space="0" w:color="auto"/>
            <w:bottom w:val="none" w:sz="0" w:space="0" w:color="auto"/>
            <w:right w:val="none" w:sz="0" w:space="0" w:color="auto"/>
          </w:divBdr>
        </w:div>
        <w:div w:id="1255673159">
          <w:marLeft w:val="0"/>
          <w:marRight w:val="0"/>
          <w:marTop w:val="0"/>
          <w:marBottom w:val="0"/>
          <w:divBdr>
            <w:top w:val="none" w:sz="0" w:space="0" w:color="auto"/>
            <w:left w:val="none" w:sz="0" w:space="0" w:color="auto"/>
            <w:bottom w:val="none" w:sz="0" w:space="0" w:color="auto"/>
            <w:right w:val="none" w:sz="0" w:space="0" w:color="auto"/>
          </w:divBdr>
        </w:div>
      </w:divsChild>
    </w:div>
    <w:div w:id="1778326759">
      <w:bodyDiv w:val="1"/>
      <w:marLeft w:val="0"/>
      <w:marRight w:val="0"/>
      <w:marTop w:val="0"/>
      <w:marBottom w:val="0"/>
      <w:divBdr>
        <w:top w:val="none" w:sz="0" w:space="0" w:color="auto"/>
        <w:left w:val="none" w:sz="0" w:space="0" w:color="auto"/>
        <w:bottom w:val="none" w:sz="0" w:space="0" w:color="auto"/>
        <w:right w:val="none" w:sz="0" w:space="0" w:color="auto"/>
      </w:divBdr>
      <w:divsChild>
        <w:div w:id="1338071167">
          <w:marLeft w:val="0"/>
          <w:marRight w:val="0"/>
          <w:marTop w:val="0"/>
          <w:marBottom w:val="0"/>
          <w:divBdr>
            <w:top w:val="none" w:sz="0" w:space="0" w:color="auto"/>
            <w:left w:val="none" w:sz="0" w:space="0" w:color="auto"/>
            <w:bottom w:val="none" w:sz="0" w:space="0" w:color="auto"/>
            <w:right w:val="none" w:sz="0" w:space="0" w:color="auto"/>
          </w:divBdr>
        </w:div>
        <w:div w:id="461575431">
          <w:marLeft w:val="0"/>
          <w:marRight w:val="0"/>
          <w:marTop w:val="0"/>
          <w:marBottom w:val="0"/>
          <w:divBdr>
            <w:top w:val="none" w:sz="0" w:space="0" w:color="auto"/>
            <w:left w:val="none" w:sz="0" w:space="0" w:color="auto"/>
            <w:bottom w:val="none" w:sz="0" w:space="0" w:color="auto"/>
            <w:right w:val="none" w:sz="0" w:space="0" w:color="auto"/>
          </w:divBdr>
        </w:div>
        <w:div w:id="933435574">
          <w:marLeft w:val="0"/>
          <w:marRight w:val="0"/>
          <w:marTop w:val="0"/>
          <w:marBottom w:val="0"/>
          <w:divBdr>
            <w:top w:val="none" w:sz="0" w:space="0" w:color="auto"/>
            <w:left w:val="none" w:sz="0" w:space="0" w:color="auto"/>
            <w:bottom w:val="none" w:sz="0" w:space="0" w:color="auto"/>
            <w:right w:val="none" w:sz="0" w:space="0" w:color="auto"/>
          </w:divBdr>
        </w:div>
        <w:div w:id="144704169">
          <w:marLeft w:val="0"/>
          <w:marRight w:val="0"/>
          <w:marTop w:val="0"/>
          <w:marBottom w:val="0"/>
          <w:divBdr>
            <w:top w:val="none" w:sz="0" w:space="0" w:color="auto"/>
            <w:left w:val="none" w:sz="0" w:space="0" w:color="auto"/>
            <w:bottom w:val="none" w:sz="0" w:space="0" w:color="auto"/>
            <w:right w:val="none" w:sz="0" w:space="0" w:color="auto"/>
          </w:divBdr>
        </w:div>
        <w:div w:id="87384855">
          <w:marLeft w:val="0"/>
          <w:marRight w:val="0"/>
          <w:marTop w:val="0"/>
          <w:marBottom w:val="0"/>
          <w:divBdr>
            <w:top w:val="none" w:sz="0" w:space="0" w:color="auto"/>
            <w:left w:val="none" w:sz="0" w:space="0" w:color="auto"/>
            <w:bottom w:val="none" w:sz="0" w:space="0" w:color="auto"/>
            <w:right w:val="none" w:sz="0" w:space="0" w:color="auto"/>
          </w:divBdr>
        </w:div>
        <w:div w:id="351495796">
          <w:marLeft w:val="0"/>
          <w:marRight w:val="0"/>
          <w:marTop w:val="0"/>
          <w:marBottom w:val="0"/>
          <w:divBdr>
            <w:top w:val="none" w:sz="0" w:space="0" w:color="auto"/>
            <w:left w:val="none" w:sz="0" w:space="0" w:color="auto"/>
            <w:bottom w:val="none" w:sz="0" w:space="0" w:color="auto"/>
            <w:right w:val="none" w:sz="0" w:space="0" w:color="auto"/>
          </w:divBdr>
        </w:div>
        <w:div w:id="575673768">
          <w:marLeft w:val="0"/>
          <w:marRight w:val="0"/>
          <w:marTop w:val="0"/>
          <w:marBottom w:val="0"/>
          <w:divBdr>
            <w:top w:val="none" w:sz="0" w:space="0" w:color="auto"/>
            <w:left w:val="none" w:sz="0" w:space="0" w:color="auto"/>
            <w:bottom w:val="none" w:sz="0" w:space="0" w:color="auto"/>
            <w:right w:val="none" w:sz="0" w:space="0" w:color="auto"/>
          </w:divBdr>
        </w:div>
        <w:div w:id="1343047010">
          <w:marLeft w:val="0"/>
          <w:marRight w:val="0"/>
          <w:marTop w:val="0"/>
          <w:marBottom w:val="0"/>
          <w:divBdr>
            <w:top w:val="none" w:sz="0" w:space="0" w:color="auto"/>
            <w:left w:val="none" w:sz="0" w:space="0" w:color="auto"/>
            <w:bottom w:val="none" w:sz="0" w:space="0" w:color="auto"/>
            <w:right w:val="none" w:sz="0" w:space="0" w:color="auto"/>
          </w:divBdr>
        </w:div>
        <w:div w:id="1704135432">
          <w:marLeft w:val="0"/>
          <w:marRight w:val="0"/>
          <w:marTop w:val="0"/>
          <w:marBottom w:val="0"/>
          <w:divBdr>
            <w:top w:val="none" w:sz="0" w:space="0" w:color="auto"/>
            <w:left w:val="none" w:sz="0" w:space="0" w:color="auto"/>
            <w:bottom w:val="none" w:sz="0" w:space="0" w:color="auto"/>
            <w:right w:val="none" w:sz="0" w:space="0" w:color="auto"/>
          </w:divBdr>
        </w:div>
        <w:div w:id="1345352882">
          <w:marLeft w:val="0"/>
          <w:marRight w:val="0"/>
          <w:marTop w:val="0"/>
          <w:marBottom w:val="0"/>
          <w:divBdr>
            <w:top w:val="none" w:sz="0" w:space="0" w:color="auto"/>
            <w:left w:val="none" w:sz="0" w:space="0" w:color="auto"/>
            <w:bottom w:val="none" w:sz="0" w:space="0" w:color="auto"/>
            <w:right w:val="none" w:sz="0" w:space="0" w:color="auto"/>
          </w:divBdr>
        </w:div>
        <w:div w:id="223178901">
          <w:marLeft w:val="0"/>
          <w:marRight w:val="0"/>
          <w:marTop w:val="0"/>
          <w:marBottom w:val="0"/>
          <w:divBdr>
            <w:top w:val="none" w:sz="0" w:space="0" w:color="auto"/>
            <w:left w:val="none" w:sz="0" w:space="0" w:color="auto"/>
            <w:bottom w:val="none" w:sz="0" w:space="0" w:color="auto"/>
            <w:right w:val="none" w:sz="0" w:space="0" w:color="auto"/>
          </w:divBdr>
        </w:div>
        <w:div w:id="632759118">
          <w:marLeft w:val="0"/>
          <w:marRight w:val="0"/>
          <w:marTop w:val="0"/>
          <w:marBottom w:val="0"/>
          <w:divBdr>
            <w:top w:val="none" w:sz="0" w:space="0" w:color="auto"/>
            <w:left w:val="none" w:sz="0" w:space="0" w:color="auto"/>
            <w:bottom w:val="none" w:sz="0" w:space="0" w:color="auto"/>
            <w:right w:val="none" w:sz="0" w:space="0" w:color="auto"/>
          </w:divBdr>
        </w:div>
        <w:div w:id="2009818594">
          <w:marLeft w:val="0"/>
          <w:marRight w:val="0"/>
          <w:marTop w:val="0"/>
          <w:marBottom w:val="0"/>
          <w:divBdr>
            <w:top w:val="none" w:sz="0" w:space="0" w:color="auto"/>
            <w:left w:val="none" w:sz="0" w:space="0" w:color="auto"/>
            <w:bottom w:val="none" w:sz="0" w:space="0" w:color="auto"/>
            <w:right w:val="none" w:sz="0" w:space="0" w:color="auto"/>
          </w:divBdr>
        </w:div>
        <w:div w:id="715935114">
          <w:marLeft w:val="0"/>
          <w:marRight w:val="0"/>
          <w:marTop w:val="0"/>
          <w:marBottom w:val="0"/>
          <w:divBdr>
            <w:top w:val="none" w:sz="0" w:space="0" w:color="auto"/>
            <w:left w:val="none" w:sz="0" w:space="0" w:color="auto"/>
            <w:bottom w:val="none" w:sz="0" w:space="0" w:color="auto"/>
            <w:right w:val="none" w:sz="0" w:space="0" w:color="auto"/>
          </w:divBdr>
        </w:div>
        <w:div w:id="1056120507">
          <w:marLeft w:val="0"/>
          <w:marRight w:val="0"/>
          <w:marTop w:val="0"/>
          <w:marBottom w:val="0"/>
          <w:divBdr>
            <w:top w:val="none" w:sz="0" w:space="0" w:color="auto"/>
            <w:left w:val="none" w:sz="0" w:space="0" w:color="auto"/>
            <w:bottom w:val="none" w:sz="0" w:space="0" w:color="auto"/>
            <w:right w:val="none" w:sz="0" w:space="0" w:color="auto"/>
          </w:divBdr>
        </w:div>
        <w:div w:id="1855344955">
          <w:marLeft w:val="0"/>
          <w:marRight w:val="0"/>
          <w:marTop w:val="0"/>
          <w:marBottom w:val="0"/>
          <w:divBdr>
            <w:top w:val="none" w:sz="0" w:space="0" w:color="auto"/>
            <w:left w:val="none" w:sz="0" w:space="0" w:color="auto"/>
            <w:bottom w:val="none" w:sz="0" w:space="0" w:color="auto"/>
            <w:right w:val="none" w:sz="0" w:space="0" w:color="auto"/>
          </w:divBdr>
        </w:div>
        <w:div w:id="1791316366">
          <w:marLeft w:val="0"/>
          <w:marRight w:val="0"/>
          <w:marTop w:val="0"/>
          <w:marBottom w:val="0"/>
          <w:divBdr>
            <w:top w:val="none" w:sz="0" w:space="0" w:color="auto"/>
            <w:left w:val="none" w:sz="0" w:space="0" w:color="auto"/>
            <w:bottom w:val="none" w:sz="0" w:space="0" w:color="auto"/>
            <w:right w:val="none" w:sz="0" w:space="0" w:color="auto"/>
          </w:divBdr>
        </w:div>
        <w:div w:id="1400790416">
          <w:marLeft w:val="0"/>
          <w:marRight w:val="0"/>
          <w:marTop w:val="0"/>
          <w:marBottom w:val="0"/>
          <w:divBdr>
            <w:top w:val="none" w:sz="0" w:space="0" w:color="auto"/>
            <w:left w:val="none" w:sz="0" w:space="0" w:color="auto"/>
            <w:bottom w:val="none" w:sz="0" w:space="0" w:color="auto"/>
            <w:right w:val="none" w:sz="0" w:space="0" w:color="auto"/>
          </w:divBdr>
        </w:div>
        <w:div w:id="1992102810">
          <w:marLeft w:val="0"/>
          <w:marRight w:val="0"/>
          <w:marTop w:val="0"/>
          <w:marBottom w:val="0"/>
          <w:divBdr>
            <w:top w:val="none" w:sz="0" w:space="0" w:color="auto"/>
            <w:left w:val="none" w:sz="0" w:space="0" w:color="auto"/>
            <w:bottom w:val="none" w:sz="0" w:space="0" w:color="auto"/>
            <w:right w:val="none" w:sz="0" w:space="0" w:color="auto"/>
          </w:divBdr>
        </w:div>
        <w:div w:id="138964796">
          <w:marLeft w:val="0"/>
          <w:marRight w:val="0"/>
          <w:marTop w:val="0"/>
          <w:marBottom w:val="0"/>
          <w:divBdr>
            <w:top w:val="none" w:sz="0" w:space="0" w:color="auto"/>
            <w:left w:val="none" w:sz="0" w:space="0" w:color="auto"/>
            <w:bottom w:val="none" w:sz="0" w:space="0" w:color="auto"/>
            <w:right w:val="none" w:sz="0" w:space="0" w:color="auto"/>
          </w:divBdr>
        </w:div>
        <w:div w:id="1842500313">
          <w:marLeft w:val="0"/>
          <w:marRight w:val="0"/>
          <w:marTop w:val="0"/>
          <w:marBottom w:val="0"/>
          <w:divBdr>
            <w:top w:val="none" w:sz="0" w:space="0" w:color="auto"/>
            <w:left w:val="none" w:sz="0" w:space="0" w:color="auto"/>
            <w:bottom w:val="none" w:sz="0" w:space="0" w:color="auto"/>
            <w:right w:val="none" w:sz="0" w:space="0" w:color="auto"/>
          </w:divBdr>
        </w:div>
      </w:divsChild>
    </w:div>
    <w:div w:id="1862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FDD31-D95E-4D1A-B317-F75FB87C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Israel</dc:creator>
  <cp:keywords/>
  <dc:description/>
  <cp:lastModifiedBy>Anya Coverman</cp:lastModifiedBy>
  <cp:revision>4</cp:revision>
  <cp:lastPrinted>2014-05-09T18:42:00Z</cp:lastPrinted>
  <dcterms:created xsi:type="dcterms:W3CDTF">2014-09-29T19:12:00Z</dcterms:created>
  <dcterms:modified xsi:type="dcterms:W3CDTF">2014-09-29T19:21:00Z</dcterms:modified>
</cp:coreProperties>
</file>